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13CE3" w14:textId="77777777" w:rsidR="00550EB7" w:rsidRPr="00645718" w:rsidRDefault="00550EB7" w:rsidP="00645718">
      <w:pPr>
        <w:pStyle w:val="Heading1"/>
        <w:spacing w:before="0" w:after="0" w:line="360" w:lineRule="auto"/>
        <w:jc w:val="center"/>
        <w:rPr>
          <w:rFonts w:ascii="Calibri" w:hAnsi="Calibri" w:cs="Calibri"/>
          <w:color w:val="auto"/>
          <w:sz w:val="32"/>
          <w:szCs w:val="32"/>
        </w:rPr>
      </w:pPr>
      <w:r w:rsidRPr="00645718">
        <w:rPr>
          <w:rFonts w:ascii="Calibri" w:hAnsi="Calibri" w:cs="Calibri"/>
          <w:color w:val="auto"/>
          <w:sz w:val="32"/>
          <w:szCs w:val="32"/>
        </w:rPr>
        <w:t>What Are the Types of IRB Review?</w:t>
      </w:r>
    </w:p>
    <w:p w14:paraId="0549C7FB" w14:textId="77777777" w:rsidR="00550EB7" w:rsidRPr="00645718" w:rsidRDefault="00550EB7" w:rsidP="00645718">
      <w:pPr>
        <w:pStyle w:val="Heading2"/>
        <w:spacing w:before="0" w:after="0" w:line="360" w:lineRule="auto"/>
        <w:rPr>
          <w:rFonts w:ascii="Calibri" w:hAnsi="Calibri" w:cs="Calibri"/>
          <w:b/>
          <w:bCs/>
          <w:color w:val="auto"/>
          <w:sz w:val="28"/>
          <w:szCs w:val="28"/>
        </w:rPr>
      </w:pPr>
      <w:r w:rsidRPr="00645718">
        <w:rPr>
          <w:rFonts w:ascii="Calibri" w:hAnsi="Calibri" w:cs="Calibri"/>
          <w:b/>
          <w:bCs/>
          <w:color w:val="auto"/>
          <w:sz w:val="28"/>
          <w:szCs w:val="28"/>
        </w:rPr>
        <w:t>Exempt, Expedited, and Full Board Explained</w:t>
      </w:r>
    </w:p>
    <w:p w14:paraId="7A8990DE" w14:textId="77777777" w:rsidR="00550EB7" w:rsidRPr="00645718" w:rsidRDefault="00550EB7" w:rsidP="00645718">
      <w:pPr>
        <w:spacing w:after="0" w:line="360" w:lineRule="auto"/>
        <w:rPr>
          <w:rFonts w:ascii="Calibri" w:eastAsiaTheme="majorEastAsia" w:hAnsi="Calibri" w:cs="Calibri"/>
        </w:rPr>
      </w:pPr>
      <w:r w:rsidRPr="00645718">
        <w:rPr>
          <w:rFonts w:ascii="Calibri" w:eastAsiaTheme="majorEastAsia" w:hAnsi="Calibri" w:cs="Calibri"/>
        </w:rPr>
        <w:t>Not all research studies carry the same level of risk—and the Institutional Review Board (IRB) review process reflects that reality. When a protocol is submitted for IRB review, the level of oversight assigned depends on the nature of the research, the participant population, and the potential risks involved. Understanding the different types of IRB review can help researchers anticipate the appropriate review pathway, plan timelines effectively, and avoid unnecessary delays.</w:t>
      </w:r>
    </w:p>
    <w:p w14:paraId="0A8786B1" w14:textId="77777777" w:rsidR="00550EB7" w:rsidRPr="00645718" w:rsidRDefault="00550EB7" w:rsidP="00645718">
      <w:pPr>
        <w:spacing w:after="0" w:line="360" w:lineRule="auto"/>
        <w:rPr>
          <w:rFonts w:ascii="Calibri" w:eastAsiaTheme="majorEastAsia" w:hAnsi="Calibri" w:cs="Calibri"/>
        </w:rPr>
      </w:pPr>
      <w:r w:rsidRPr="00645718">
        <w:rPr>
          <w:rFonts w:ascii="Calibri" w:eastAsiaTheme="majorEastAsia" w:hAnsi="Calibri" w:cs="Calibri"/>
        </w:rPr>
        <w:t>This guide explains the three primary types of IRB review—exempt, expedited, and full board (convened) review—and outlines when each applies, how the process works, and what distinguishes one category from another. A comparison table is also included for quick reference.</w:t>
      </w:r>
    </w:p>
    <w:p w14:paraId="0C46F977" w14:textId="77777777" w:rsidR="00550EB7" w:rsidRPr="00645718" w:rsidRDefault="00550EB7" w:rsidP="00645718">
      <w:pPr>
        <w:pStyle w:val="Heading2"/>
        <w:spacing w:before="0" w:after="0" w:line="360" w:lineRule="auto"/>
        <w:rPr>
          <w:rFonts w:ascii="Calibri" w:hAnsi="Calibri" w:cs="Calibri"/>
          <w:b/>
          <w:bCs/>
          <w:color w:val="auto"/>
          <w:sz w:val="28"/>
          <w:szCs w:val="28"/>
        </w:rPr>
      </w:pPr>
      <w:r w:rsidRPr="00645718">
        <w:rPr>
          <w:rFonts w:ascii="Calibri" w:hAnsi="Calibri" w:cs="Calibri"/>
          <w:b/>
          <w:bCs/>
          <w:color w:val="auto"/>
          <w:sz w:val="28"/>
          <w:szCs w:val="28"/>
        </w:rPr>
        <w:t>Why IRB Review Type Matters</w:t>
      </w:r>
    </w:p>
    <w:p w14:paraId="19DCF072" w14:textId="77777777" w:rsidR="00550EB7" w:rsidRPr="00645718" w:rsidRDefault="00550EB7" w:rsidP="00645718">
      <w:pPr>
        <w:spacing w:after="0" w:line="360" w:lineRule="auto"/>
        <w:rPr>
          <w:rFonts w:ascii="Calibri" w:eastAsiaTheme="majorEastAsia" w:hAnsi="Calibri" w:cs="Calibri"/>
        </w:rPr>
      </w:pPr>
      <w:r w:rsidRPr="00645718">
        <w:rPr>
          <w:rFonts w:ascii="Calibri" w:eastAsiaTheme="majorEastAsia" w:hAnsi="Calibri" w:cs="Calibri"/>
        </w:rPr>
        <w:t>The IRB exists to protect human research participants. However, not every study requires the same level of scrutiny. For example, a low-risk survey study does not require the same oversight as a Phase III clinical trial involving investigational drugs. Assigning the appropriate level of review ensures that participant protections are proportionate to the level of risk while allowing research to proceed efficiently and without unnecessary administrative burden.</w:t>
      </w:r>
    </w:p>
    <w:p w14:paraId="4C011151" w14:textId="77777777" w:rsidR="00550EB7" w:rsidRPr="00645718" w:rsidRDefault="00550EB7" w:rsidP="00645718">
      <w:pPr>
        <w:spacing w:after="0" w:line="360" w:lineRule="auto"/>
        <w:rPr>
          <w:rFonts w:ascii="Calibri" w:eastAsiaTheme="majorEastAsia" w:hAnsi="Calibri" w:cs="Calibri"/>
        </w:rPr>
      </w:pPr>
      <w:r w:rsidRPr="00645718">
        <w:rPr>
          <w:rFonts w:ascii="Calibri" w:eastAsiaTheme="majorEastAsia" w:hAnsi="Calibri" w:cs="Calibri"/>
        </w:rPr>
        <w:t>The three review pathways—exempt, expedited, and full board review—each serve a distinct purpose. Understanding these differences can save researchers considerable time during study planning and protocol submission.</w:t>
      </w:r>
    </w:p>
    <w:p w14:paraId="4E1F243F" w14:textId="77777777" w:rsidR="00550EB7" w:rsidRPr="00645718" w:rsidRDefault="00550EB7" w:rsidP="00645718">
      <w:pPr>
        <w:pStyle w:val="Heading2"/>
        <w:spacing w:before="0" w:after="0" w:line="360" w:lineRule="auto"/>
        <w:rPr>
          <w:rFonts w:ascii="Calibri" w:hAnsi="Calibri" w:cs="Calibri"/>
          <w:b/>
          <w:bCs/>
          <w:color w:val="auto"/>
          <w:sz w:val="28"/>
          <w:szCs w:val="28"/>
        </w:rPr>
      </w:pPr>
      <w:r w:rsidRPr="00645718">
        <w:rPr>
          <w:rFonts w:ascii="Calibri" w:hAnsi="Calibri" w:cs="Calibri"/>
          <w:b/>
          <w:bCs/>
          <w:color w:val="auto"/>
          <w:sz w:val="28"/>
          <w:szCs w:val="28"/>
        </w:rPr>
        <w:t>Exempt IRB Review</w:t>
      </w:r>
    </w:p>
    <w:p w14:paraId="1BBE5A28" w14:textId="77777777" w:rsidR="00550EB7" w:rsidRPr="00645718" w:rsidRDefault="00550EB7" w:rsidP="00645718">
      <w:pPr>
        <w:pStyle w:val="Heading3"/>
        <w:spacing w:before="0" w:after="0" w:line="360" w:lineRule="auto"/>
        <w:rPr>
          <w:rFonts w:ascii="Calibri" w:hAnsi="Calibri" w:cs="Calibri"/>
          <w:color w:val="auto"/>
          <w:sz w:val="24"/>
          <w:szCs w:val="24"/>
          <w:u w:val="single"/>
        </w:rPr>
      </w:pPr>
      <w:r w:rsidRPr="00645718">
        <w:rPr>
          <w:rFonts w:ascii="Calibri" w:hAnsi="Calibri" w:cs="Calibri"/>
          <w:color w:val="auto"/>
          <w:sz w:val="24"/>
          <w:szCs w:val="24"/>
          <w:u w:val="single"/>
        </w:rPr>
        <w:t>What It Is</w:t>
      </w:r>
    </w:p>
    <w:p w14:paraId="70957F21" w14:textId="77777777" w:rsidR="00550EB7" w:rsidRPr="00645718" w:rsidRDefault="00550EB7" w:rsidP="00645718">
      <w:pPr>
        <w:spacing w:after="0" w:line="360" w:lineRule="auto"/>
        <w:rPr>
          <w:rFonts w:ascii="Calibri" w:eastAsiaTheme="majorEastAsia" w:hAnsi="Calibri" w:cs="Calibri"/>
        </w:rPr>
      </w:pPr>
      <w:r w:rsidRPr="00645718">
        <w:rPr>
          <w:rFonts w:ascii="Calibri" w:eastAsiaTheme="majorEastAsia" w:hAnsi="Calibri" w:cs="Calibri"/>
        </w:rPr>
        <w:t>Exempt review applies to research activities that fall within specific categories defined by federal regulations under 45 CFR 46.104. Despite the term “exempt,” these studies are not exempt from ethical oversight. Rather, they are exempt from certain requirements of the Common Rule because they involve very low levels of risk.</w:t>
      </w:r>
    </w:p>
    <w:p w14:paraId="323B0395" w14:textId="77777777" w:rsidR="00550EB7" w:rsidRPr="00645718" w:rsidRDefault="00550EB7" w:rsidP="00645718">
      <w:pPr>
        <w:spacing w:after="0" w:line="360" w:lineRule="auto"/>
        <w:rPr>
          <w:rFonts w:ascii="Calibri" w:eastAsiaTheme="majorEastAsia" w:hAnsi="Calibri" w:cs="Calibri"/>
        </w:rPr>
      </w:pPr>
      <w:r w:rsidRPr="00645718">
        <w:rPr>
          <w:rFonts w:ascii="Calibri" w:eastAsiaTheme="majorEastAsia" w:hAnsi="Calibri" w:cs="Calibri"/>
        </w:rPr>
        <w:lastRenderedPageBreak/>
        <w:t xml:space="preserve">Importantly, researchers cannot determine on their own </w:t>
      </w:r>
      <w:proofErr w:type="gramStart"/>
      <w:r w:rsidRPr="00645718">
        <w:rPr>
          <w:rFonts w:ascii="Calibri" w:eastAsiaTheme="majorEastAsia" w:hAnsi="Calibri" w:cs="Calibri"/>
        </w:rPr>
        <w:t>that a study</w:t>
      </w:r>
      <w:proofErr w:type="gramEnd"/>
      <w:r w:rsidRPr="00645718">
        <w:rPr>
          <w:rFonts w:ascii="Calibri" w:eastAsiaTheme="majorEastAsia" w:hAnsi="Calibri" w:cs="Calibri"/>
        </w:rPr>
        <w:t xml:space="preserve"> is exempt. A designated institutional authority or the IRB itself must make the exemption determination.</w:t>
      </w:r>
    </w:p>
    <w:p w14:paraId="1D0548DE" w14:textId="77777777" w:rsidR="00550EB7" w:rsidRPr="00645718" w:rsidRDefault="00550EB7" w:rsidP="00645718">
      <w:pPr>
        <w:pStyle w:val="Heading2"/>
        <w:spacing w:before="0" w:after="0" w:line="360" w:lineRule="auto"/>
        <w:rPr>
          <w:rFonts w:ascii="Calibri" w:hAnsi="Calibri" w:cs="Calibri"/>
          <w:color w:val="auto"/>
          <w:sz w:val="24"/>
          <w:szCs w:val="24"/>
          <w:u w:val="single"/>
        </w:rPr>
      </w:pPr>
      <w:r w:rsidRPr="00645718">
        <w:rPr>
          <w:rFonts w:ascii="Calibri" w:hAnsi="Calibri" w:cs="Calibri"/>
          <w:color w:val="auto"/>
          <w:sz w:val="24"/>
          <w:szCs w:val="24"/>
          <w:u w:val="single"/>
        </w:rPr>
        <w:t>When It Applies</w:t>
      </w:r>
    </w:p>
    <w:p w14:paraId="6EC9290A" w14:textId="77777777" w:rsidR="00550EB7" w:rsidRPr="00645718" w:rsidRDefault="00550EB7" w:rsidP="00645718">
      <w:pPr>
        <w:spacing w:after="0" w:line="360" w:lineRule="auto"/>
        <w:rPr>
          <w:rFonts w:ascii="Calibri" w:eastAsiaTheme="majorEastAsia" w:hAnsi="Calibri" w:cs="Calibri"/>
        </w:rPr>
      </w:pPr>
      <w:r w:rsidRPr="00645718">
        <w:rPr>
          <w:rFonts w:ascii="Calibri" w:eastAsiaTheme="majorEastAsia" w:hAnsi="Calibri" w:cs="Calibri"/>
        </w:rPr>
        <w:t>Studies may qualify for exempt review when they involve activities such as:</w:t>
      </w:r>
    </w:p>
    <w:p w14:paraId="36384DE8" w14:textId="77777777" w:rsidR="00550EB7" w:rsidRPr="00645718" w:rsidRDefault="00550EB7" w:rsidP="00645718">
      <w:pPr>
        <w:numPr>
          <w:ilvl w:val="0"/>
          <w:numId w:val="35"/>
        </w:numPr>
        <w:spacing w:after="0" w:line="360" w:lineRule="auto"/>
        <w:rPr>
          <w:rFonts w:ascii="Calibri" w:eastAsiaTheme="majorEastAsia" w:hAnsi="Calibri" w:cs="Calibri"/>
        </w:rPr>
      </w:pPr>
      <w:r w:rsidRPr="00645718">
        <w:rPr>
          <w:rFonts w:ascii="Calibri" w:eastAsiaTheme="majorEastAsia" w:hAnsi="Calibri" w:cs="Calibri"/>
        </w:rPr>
        <w:t>Educational practices conducted in established educational settings.</w:t>
      </w:r>
    </w:p>
    <w:p w14:paraId="29119F10" w14:textId="77777777" w:rsidR="00550EB7" w:rsidRPr="00645718" w:rsidRDefault="00550EB7" w:rsidP="00645718">
      <w:pPr>
        <w:numPr>
          <w:ilvl w:val="0"/>
          <w:numId w:val="35"/>
        </w:numPr>
        <w:spacing w:after="0" w:line="360" w:lineRule="auto"/>
        <w:rPr>
          <w:rFonts w:ascii="Calibri" w:eastAsiaTheme="majorEastAsia" w:hAnsi="Calibri" w:cs="Calibri"/>
        </w:rPr>
      </w:pPr>
      <w:r w:rsidRPr="00645718">
        <w:rPr>
          <w:rFonts w:ascii="Calibri" w:eastAsiaTheme="majorEastAsia" w:hAnsi="Calibri" w:cs="Calibri"/>
        </w:rPr>
        <w:t>Surveys, interviews, or observations of public behavior under specified conditions.</w:t>
      </w:r>
    </w:p>
    <w:p w14:paraId="2410043A" w14:textId="77777777" w:rsidR="00550EB7" w:rsidRPr="00645718" w:rsidRDefault="00550EB7" w:rsidP="00645718">
      <w:pPr>
        <w:numPr>
          <w:ilvl w:val="0"/>
          <w:numId w:val="35"/>
        </w:numPr>
        <w:spacing w:after="0" w:line="360" w:lineRule="auto"/>
        <w:rPr>
          <w:rFonts w:ascii="Calibri" w:eastAsiaTheme="majorEastAsia" w:hAnsi="Calibri" w:cs="Calibri"/>
        </w:rPr>
      </w:pPr>
      <w:r w:rsidRPr="00645718">
        <w:rPr>
          <w:rFonts w:ascii="Calibri" w:eastAsiaTheme="majorEastAsia" w:hAnsi="Calibri" w:cs="Calibri"/>
        </w:rPr>
        <w:t xml:space="preserve">Secondary research </w:t>
      </w:r>
      <w:proofErr w:type="gramStart"/>
      <w:r w:rsidRPr="00645718">
        <w:rPr>
          <w:rFonts w:ascii="Calibri" w:eastAsiaTheme="majorEastAsia" w:hAnsi="Calibri" w:cs="Calibri"/>
        </w:rPr>
        <w:t>involving</w:t>
      </w:r>
      <w:proofErr w:type="gramEnd"/>
      <w:r w:rsidRPr="00645718">
        <w:rPr>
          <w:rFonts w:ascii="Calibri" w:eastAsiaTheme="majorEastAsia" w:hAnsi="Calibri" w:cs="Calibri"/>
        </w:rPr>
        <w:t xml:space="preserve"> identifiable private information or biospecimens.</w:t>
      </w:r>
    </w:p>
    <w:p w14:paraId="157EEFA0" w14:textId="77777777" w:rsidR="00550EB7" w:rsidRPr="00645718" w:rsidRDefault="00550EB7" w:rsidP="00645718">
      <w:pPr>
        <w:numPr>
          <w:ilvl w:val="0"/>
          <w:numId w:val="35"/>
        </w:numPr>
        <w:spacing w:after="0" w:line="360" w:lineRule="auto"/>
        <w:rPr>
          <w:rFonts w:ascii="Calibri" w:eastAsiaTheme="majorEastAsia" w:hAnsi="Calibri" w:cs="Calibri"/>
        </w:rPr>
      </w:pPr>
      <w:r w:rsidRPr="00645718">
        <w:rPr>
          <w:rFonts w:ascii="Calibri" w:eastAsiaTheme="majorEastAsia" w:hAnsi="Calibri" w:cs="Calibri"/>
        </w:rPr>
        <w:t>Benign behavioral interventions involving adults.</w:t>
      </w:r>
    </w:p>
    <w:p w14:paraId="41BB9CB3" w14:textId="77777777" w:rsidR="00550EB7" w:rsidRPr="00645718" w:rsidRDefault="00550EB7" w:rsidP="00645718">
      <w:pPr>
        <w:numPr>
          <w:ilvl w:val="0"/>
          <w:numId w:val="35"/>
        </w:numPr>
        <w:spacing w:after="0" w:line="360" w:lineRule="auto"/>
        <w:rPr>
          <w:rFonts w:ascii="Calibri" w:eastAsiaTheme="majorEastAsia" w:hAnsi="Calibri" w:cs="Calibri"/>
        </w:rPr>
      </w:pPr>
      <w:r w:rsidRPr="00645718">
        <w:rPr>
          <w:rFonts w:ascii="Calibri" w:eastAsiaTheme="majorEastAsia" w:hAnsi="Calibri" w:cs="Calibri"/>
        </w:rPr>
        <w:t>Certain federally supported demonstration or public benefit projects.</w:t>
      </w:r>
    </w:p>
    <w:p w14:paraId="5577551E" w14:textId="77777777" w:rsidR="00550EB7" w:rsidRPr="00645718" w:rsidRDefault="00550EB7" w:rsidP="00645718">
      <w:pPr>
        <w:spacing w:after="0" w:line="360" w:lineRule="auto"/>
        <w:rPr>
          <w:rFonts w:ascii="Calibri" w:eastAsiaTheme="majorEastAsia" w:hAnsi="Calibri" w:cs="Calibri"/>
        </w:rPr>
      </w:pPr>
      <w:r w:rsidRPr="00645718">
        <w:rPr>
          <w:rFonts w:ascii="Calibri" w:eastAsiaTheme="majorEastAsia" w:hAnsi="Calibri" w:cs="Calibri"/>
        </w:rPr>
        <w:t>Some exempt categories require a limited IRB review, particularly when identifiable information is collected or maintained. Limited IRB review focuses primarily on privacy and confidentiality protections while avoiding the need for full committee review.</w:t>
      </w:r>
    </w:p>
    <w:p w14:paraId="5E0954C9" w14:textId="77777777" w:rsidR="00550EB7" w:rsidRPr="00645718" w:rsidRDefault="00550EB7" w:rsidP="00645718">
      <w:pPr>
        <w:pStyle w:val="Heading3"/>
        <w:spacing w:before="0" w:after="0" w:line="360" w:lineRule="auto"/>
        <w:rPr>
          <w:rFonts w:ascii="Calibri" w:hAnsi="Calibri" w:cs="Calibri"/>
          <w:color w:val="auto"/>
          <w:sz w:val="24"/>
          <w:szCs w:val="24"/>
          <w:u w:val="single"/>
        </w:rPr>
      </w:pPr>
      <w:r w:rsidRPr="00645718">
        <w:rPr>
          <w:rFonts w:ascii="Calibri" w:hAnsi="Calibri" w:cs="Calibri"/>
          <w:color w:val="auto"/>
          <w:sz w:val="24"/>
          <w:szCs w:val="24"/>
          <w:u w:val="single"/>
        </w:rPr>
        <w:t>Key Characteristics of Exempt Review</w:t>
      </w:r>
    </w:p>
    <w:p w14:paraId="27068AA6" w14:textId="77777777" w:rsidR="00550EB7" w:rsidRPr="00645718" w:rsidRDefault="00550EB7" w:rsidP="00645718">
      <w:pPr>
        <w:numPr>
          <w:ilvl w:val="0"/>
          <w:numId w:val="36"/>
        </w:numPr>
        <w:spacing w:after="0" w:line="360" w:lineRule="auto"/>
        <w:rPr>
          <w:rFonts w:ascii="Calibri" w:eastAsiaTheme="majorEastAsia" w:hAnsi="Calibri" w:cs="Calibri"/>
        </w:rPr>
      </w:pPr>
      <w:r w:rsidRPr="00645718">
        <w:rPr>
          <w:rFonts w:ascii="Calibri" w:eastAsiaTheme="majorEastAsia" w:hAnsi="Calibri" w:cs="Calibri"/>
        </w:rPr>
        <w:t>Lowest level of IRB oversight.</w:t>
      </w:r>
    </w:p>
    <w:p w14:paraId="4101BDCC" w14:textId="77777777" w:rsidR="00550EB7" w:rsidRPr="00645718" w:rsidRDefault="00550EB7" w:rsidP="00645718">
      <w:pPr>
        <w:numPr>
          <w:ilvl w:val="0"/>
          <w:numId w:val="36"/>
        </w:numPr>
        <w:spacing w:after="0" w:line="360" w:lineRule="auto"/>
        <w:rPr>
          <w:rFonts w:ascii="Calibri" w:eastAsiaTheme="majorEastAsia" w:hAnsi="Calibri" w:cs="Calibri"/>
        </w:rPr>
      </w:pPr>
      <w:r w:rsidRPr="00645718">
        <w:rPr>
          <w:rFonts w:ascii="Calibri" w:eastAsiaTheme="majorEastAsia" w:hAnsi="Calibri" w:cs="Calibri"/>
        </w:rPr>
        <w:t>Determination made by a designated reviewer rather than the full IRB.</w:t>
      </w:r>
    </w:p>
    <w:p w14:paraId="7ADB1D7D" w14:textId="77777777" w:rsidR="00550EB7" w:rsidRPr="00645718" w:rsidRDefault="00550EB7" w:rsidP="00645718">
      <w:pPr>
        <w:numPr>
          <w:ilvl w:val="0"/>
          <w:numId w:val="36"/>
        </w:numPr>
        <w:spacing w:after="0" w:line="360" w:lineRule="auto"/>
        <w:rPr>
          <w:rFonts w:ascii="Calibri" w:eastAsiaTheme="majorEastAsia" w:hAnsi="Calibri" w:cs="Calibri"/>
        </w:rPr>
      </w:pPr>
      <w:r w:rsidRPr="00645718">
        <w:rPr>
          <w:rFonts w:ascii="Calibri" w:eastAsiaTheme="majorEastAsia" w:hAnsi="Calibri" w:cs="Calibri"/>
        </w:rPr>
        <w:t>Continuing review is generally not required.</w:t>
      </w:r>
    </w:p>
    <w:p w14:paraId="43073135" w14:textId="77777777" w:rsidR="00550EB7" w:rsidRPr="00645718" w:rsidRDefault="00550EB7" w:rsidP="00645718">
      <w:pPr>
        <w:numPr>
          <w:ilvl w:val="0"/>
          <w:numId w:val="36"/>
        </w:numPr>
        <w:spacing w:after="0" w:line="360" w:lineRule="auto"/>
        <w:rPr>
          <w:rFonts w:ascii="Calibri" w:eastAsiaTheme="majorEastAsia" w:hAnsi="Calibri" w:cs="Calibri"/>
        </w:rPr>
      </w:pPr>
      <w:r w:rsidRPr="00645718">
        <w:rPr>
          <w:rFonts w:ascii="Calibri" w:eastAsiaTheme="majorEastAsia" w:hAnsi="Calibri" w:cs="Calibri"/>
        </w:rPr>
        <w:t>Re-review is usually unnecessary unless significant study changes occur.</w:t>
      </w:r>
    </w:p>
    <w:p w14:paraId="05173377" w14:textId="77777777" w:rsidR="00550EB7" w:rsidRPr="00645718" w:rsidRDefault="00550EB7" w:rsidP="00645718">
      <w:pPr>
        <w:pStyle w:val="Heading2"/>
        <w:rPr>
          <w:rFonts w:ascii="Calibri" w:hAnsi="Calibri" w:cs="Calibri"/>
          <w:b/>
          <w:bCs/>
          <w:color w:val="auto"/>
          <w:sz w:val="28"/>
          <w:szCs w:val="28"/>
        </w:rPr>
      </w:pPr>
      <w:r w:rsidRPr="00645718">
        <w:rPr>
          <w:rFonts w:ascii="Calibri" w:hAnsi="Calibri" w:cs="Calibri"/>
          <w:b/>
          <w:bCs/>
          <w:color w:val="auto"/>
          <w:sz w:val="28"/>
          <w:szCs w:val="28"/>
        </w:rPr>
        <w:t>Expedited IRB Review</w:t>
      </w:r>
    </w:p>
    <w:p w14:paraId="661E1626" w14:textId="77777777" w:rsidR="00550EB7" w:rsidRPr="00645718" w:rsidRDefault="00550EB7" w:rsidP="00645718">
      <w:pPr>
        <w:pStyle w:val="Heading3"/>
        <w:spacing w:before="0" w:after="0" w:line="360" w:lineRule="auto"/>
        <w:rPr>
          <w:rFonts w:ascii="Calibri" w:hAnsi="Calibri" w:cs="Calibri"/>
          <w:color w:val="auto"/>
          <w:sz w:val="24"/>
          <w:szCs w:val="24"/>
          <w:u w:val="single"/>
        </w:rPr>
      </w:pPr>
      <w:r w:rsidRPr="00645718">
        <w:rPr>
          <w:rFonts w:ascii="Calibri" w:hAnsi="Calibri" w:cs="Calibri"/>
          <w:color w:val="auto"/>
          <w:sz w:val="24"/>
          <w:szCs w:val="24"/>
          <w:u w:val="single"/>
        </w:rPr>
        <w:t>What It Is</w:t>
      </w:r>
    </w:p>
    <w:p w14:paraId="2B44994E" w14:textId="77777777" w:rsidR="00550EB7" w:rsidRPr="00645718" w:rsidRDefault="00550EB7" w:rsidP="00645718">
      <w:pPr>
        <w:spacing w:after="0" w:line="360" w:lineRule="auto"/>
        <w:rPr>
          <w:rFonts w:ascii="Calibri" w:eastAsiaTheme="majorEastAsia" w:hAnsi="Calibri" w:cs="Calibri"/>
        </w:rPr>
      </w:pPr>
      <w:r w:rsidRPr="00645718">
        <w:rPr>
          <w:rFonts w:ascii="Calibri" w:eastAsiaTheme="majorEastAsia" w:hAnsi="Calibri" w:cs="Calibri"/>
        </w:rPr>
        <w:t>Expedited review applies to research involving no more than minimal risk to participants and that falls within one or more federally defined expedited categories. Like exempt review, expedited studies are reviewed outside of a convened IRB meeting by the IRB chair or an experienced designated reviewer.</w:t>
      </w:r>
    </w:p>
    <w:p w14:paraId="01BA1597" w14:textId="77777777" w:rsidR="00550EB7" w:rsidRPr="00645718" w:rsidRDefault="00550EB7" w:rsidP="00645718">
      <w:pPr>
        <w:spacing w:after="0" w:line="360" w:lineRule="auto"/>
        <w:rPr>
          <w:rFonts w:ascii="Calibri" w:eastAsiaTheme="majorEastAsia" w:hAnsi="Calibri" w:cs="Calibri"/>
        </w:rPr>
      </w:pPr>
      <w:r w:rsidRPr="00645718">
        <w:rPr>
          <w:rFonts w:ascii="Calibri" w:eastAsiaTheme="majorEastAsia" w:hAnsi="Calibri" w:cs="Calibri"/>
        </w:rPr>
        <w:t>This review pathway balances efficiency with appropriate ethical oversight and is commonly used for studies that involve routine procedures or limited risks.</w:t>
      </w:r>
    </w:p>
    <w:p w14:paraId="5ADAE392" w14:textId="77777777" w:rsidR="00550EB7" w:rsidRPr="00645718" w:rsidRDefault="00550EB7" w:rsidP="00645718">
      <w:pPr>
        <w:pStyle w:val="Heading3"/>
        <w:spacing w:before="0" w:after="0" w:line="360" w:lineRule="auto"/>
        <w:rPr>
          <w:rFonts w:ascii="Calibri" w:hAnsi="Calibri" w:cs="Calibri"/>
          <w:color w:val="auto"/>
          <w:sz w:val="24"/>
          <w:szCs w:val="24"/>
          <w:u w:val="single"/>
        </w:rPr>
      </w:pPr>
      <w:r w:rsidRPr="00645718">
        <w:rPr>
          <w:rFonts w:ascii="Calibri" w:hAnsi="Calibri" w:cs="Calibri"/>
          <w:color w:val="auto"/>
          <w:sz w:val="24"/>
          <w:szCs w:val="24"/>
          <w:u w:val="single"/>
        </w:rPr>
        <w:t>Expedited Review Categories</w:t>
      </w:r>
    </w:p>
    <w:p w14:paraId="1A594E35" w14:textId="77777777" w:rsidR="00550EB7" w:rsidRPr="00645718" w:rsidRDefault="00550EB7" w:rsidP="00645718">
      <w:pPr>
        <w:spacing w:after="0" w:line="360" w:lineRule="auto"/>
        <w:rPr>
          <w:rFonts w:ascii="Calibri" w:eastAsiaTheme="majorEastAsia" w:hAnsi="Calibri" w:cs="Calibri"/>
        </w:rPr>
      </w:pPr>
      <w:r w:rsidRPr="00645718">
        <w:rPr>
          <w:rFonts w:ascii="Calibri" w:eastAsiaTheme="majorEastAsia" w:hAnsi="Calibri" w:cs="Calibri"/>
        </w:rPr>
        <w:t>The U.S. Department of Health and Human Services (HHS) has established nine expedited review categories. Examples include:</w:t>
      </w:r>
    </w:p>
    <w:p w14:paraId="6F19FC86" w14:textId="77777777" w:rsidR="00550EB7" w:rsidRPr="00645718" w:rsidRDefault="00550EB7" w:rsidP="00645718">
      <w:pPr>
        <w:numPr>
          <w:ilvl w:val="0"/>
          <w:numId w:val="37"/>
        </w:numPr>
        <w:spacing w:after="0" w:line="360" w:lineRule="auto"/>
        <w:rPr>
          <w:rFonts w:ascii="Calibri" w:eastAsiaTheme="majorEastAsia" w:hAnsi="Calibri" w:cs="Calibri"/>
        </w:rPr>
      </w:pPr>
      <w:r w:rsidRPr="00645718">
        <w:rPr>
          <w:rFonts w:ascii="Calibri" w:eastAsiaTheme="majorEastAsia" w:hAnsi="Calibri" w:cs="Calibri"/>
        </w:rPr>
        <w:t>Collection of blood samples from healthy, nonpregnant adults through venipuncture.</w:t>
      </w:r>
    </w:p>
    <w:p w14:paraId="52F9A680" w14:textId="77777777" w:rsidR="00550EB7" w:rsidRPr="00645718" w:rsidRDefault="00550EB7" w:rsidP="00645718">
      <w:pPr>
        <w:numPr>
          <w:ilvl w:val="0"/>
          <w:numId w:val="37"/>
        </w:numPr>
        <w:spacing w:after="0" w:line="360" w:lineRule="auto"/>
        <w:rPr>
          <w:rFonts w:ascii="Calibri" w:eastAsiaTheme="majorEastAsia" w:hAnsi="Calibri" w:cs="Calibri"/>
        </w:rPr>
      </w:pPr>
      <w:r w:rsidRPr="00645718">
        <w:rPr>
          <w:rFonts w:ascii="Calibri" w:eastAsiaTheme="majorEastAsia" w:hAnsi="Calibri" w:cs="Calibri"/>
        </w:rPr>
        <w:lastRenderedPageBreak/>
        <w:t>Prospective collection of biological specimens for research purposes.</w:t>
      </w:r>
    </w:p>
    <w:p w14:paraId="4E756639" w14:textId="77777777" w:rsidR="00550EB7" w:rsidRPr="00645718" w:rsidRDefault="00550EB7" w:rsidP="00645718">
      <w:pPr>
        <w:numPr>
          <w:ilvl w:val="0"/>
          <w:numId w:val="37"/>
        </w:numPr>
        <w:spacing w:after="0" w:line="360" w:lineRule="auto"/>
        <w:rPr>
          <w:rFonts w:ascii="Calibri" w:eastAsiaTheme="majorEastAsia" w:hAnsi="Calibri" w:cs="Calibri"/>
        </w:rPr>
      </w:pPr>
      <w:r w:rsidRPr="00645718">
        <w:rPr>
          <w:rFonts w:ascii="Calibri" w:eastAsiaTheme="majorEastAsia" w:hAnsi="Calibri" w:cs="Calibri"/>
        </w:rPr>
        <w:t>Collection of data through noninvasive procedures.</w:t>
      </w:r>
    </w:p>
    <w:p w14:paraId="08DF7DDD" w14:textId="77777777" w:rsidR="00550EB7" w:rsidRPr="00645718" w:rsidRDefault="00550EB7" w:rsidP="00645718">
      <w:pPr>
        <w:numPr>
          <w:ilvl w:val="0"/>
          <w:numId w:val="37"/>
        </w:numPr>
        <w:spacing w:after="0" w:line="360" w:lineRule="auto"/>
        <w:rPr>
          <w:rFonts w:ascii="Calibri" w:eastAsiaTheme="majorEastAsia" w:hAnsi="Calibri" w:cs="Calibri"/>
        </w:rPr>
      </w:pPr>
      <w:r w:rsidRPr="00645718">
        <w:rPr>
          <w:rFonts w:ascii="Calibri" w:eastAsiaTheme="majorEastAsia" w:hAnsi="Calibri" w:cs="Calibri"/>
        </w:rPr>
        <w:t xml:space="preserve">Research involving materials originally collected for </w:t>
      </w:r>
      <w:proofErr w:type="spellStart"/>
      <w:proofErr w:type="gramStart"/>
      <w:r w:rsidRPr="00645718">
        <w:rPr>
          <w:rFonts w:ascii="Calibri" w:eastAsiaTheme="majorEastAsia" w:hAnsi="Calibri" w:cs="Calibri"/>
        </w:rPr>
        <w:t>nonresearch</w:t>
      </w:r>
      <w:proofErr w:type="spellEnd"/>
      <w:proofErr w:type="gramEnd"/>
      <w:r w:rsidRPr="00645718">
        <w:rPr>
          <w:rFonts w:ascii="Calibri" w:eastAsiaTheme="majorEastAsia" w:hAnsi="Calibri" w:cs="Calibri"/>
        </w:rPr>
        <w:t xml:space="preserve"> purposes.</w:t>
      </w:r>
    </w:p>
    <w:p w14:paraId="00EC4302" w14:textId="77777777" w:rsidR="00550EB7" w:rsidRPr="00645718" w:rsidRDefault="00550EB7" w:rsidP="00645718">
      <w:pPr>
        <w:numPr>
          <w:ilvl w:val="0"/>
          <w:numId w:val="37"/>
        </w:numPr>
        <w:spacing w:after="0" w:line="360" w:lineRule="auto"/>
        <w:rPr>
          <w:rFonts w:ascii="Calibri" w:eastAsiaTheme="majorEastAsia" w:hAnsi="Calibri" w:cs="Calibri"/>
        </w:rPr>
      </w:pPr>
      <w:r w:rsidRPr="00645718">
        <w:rPr>
          <w:rFonts w:ascii="Calibri" w:eastAsiaTheme="majorEastAsia" w:hAnsi="Calibri" w:cs="Calibri"/>
        </w:rPr>
        <w:t>Audio, video, digital, or image recordings made for research purposes.</w:t>
      </w:r>
    </w:p>
    <w:p w14:paraId="02D34E4A" w14:textId="77777777" w:rsidR="00550EB7" w:rsidRPr="00645718" w:rsidRDefault="00550EB7" w:rsidP="00645718">
      <w:pPr>
        <w:numPr>
          <w:ilvl w:val="0"/>
          <w:numId w:val="37"/>
        </w:numPr>
        <w:spacing w:after="0" w:line="360" w:lineRule="auto"/>
        <w:rPr>
          <w:rFonts w:ascii="Calibri" w:eastAsiaTheme="majorEastAsia" w:hAnsi="Calibri" w:cs="Calibri"/>
        </w:rPr>
      </w:pPr>
      <w:r w:rsidRPr="00645718">
        <w:rPr>
          <w:rFonts w:ascii="Calibri" w:eastAsiaTheme="majorEastAsia" w:hAnsi="Calibri" w:cs="Calibri"/>
        </w:rPr>
        <w:t>Research on individual or group characteristics or behavior.</w:t>
      </w:r>
    </w:p>
    <w:p w14:paraId="7F6F26F3" w14:textId="77777777" w:rsidR="00550EB7" w:rsidRPr="00645718" w:rsidRDefault="00550EB7" w:rsidP="00645718">
      <w:pPr>
        <w:numPr>
          <w:ilvl w:val="0"/>
          <w:numId w:val="37"/>
        </w:numPr>
        <w:spacing w:after="0" w:line="360" w:lineRule="auto"/>
        <w:rPr>
          <w:rFonts w:ascii="Calibri" w:eastAsiaTheme="majorEastAsia" w:hAnsi="Calibri" w:cs="Calibri"/>
        </w:rPr>
      </w:pPr>
      <w:r w:rsidRPr="00645718">
        <w:rPr>
          <w:rFonts w:ascii="Calibri" w:eastAsiaTheme="majorEastAsia" w:hAnsi="Calibri" w:cs="Calibri"/>
        </w:rPr>
        <w:t>Continuing review of previously approved research under specified conditions.</w:t>
      </w:r>
    </w:p>
    <w:p w14:paraId="66363B36" w14:textId="77777777" w:rsidR="00550EB7" w:rsidRPr="00645718" w:rsidRDefault="00550EB7" w:rsidP="00645718">
      <w:pPr>
        <w:numPr>
          <w:ilvl w:val="0"/>
          <w:numId w:val="37"/>
        </w:numPr>
        <w:spacing w:after="0" w:line="360" w:lineRule="auto"/>
        <w:rPr>
          <w:rFonts w:ascii="Calibri" w:eastAsiaTheme="majorEastAsia" w:hAnsi="Calibri" w:cs="Calibri"/>
        </w:rPr>
      </w:pPr>
      <w:r w:rsidRPr="00645718">
        <w:rPr>
          <w:rFonts w:ascii="Calibri" w:eastAsiaTheme="majorEastAsia" w:hAnsi="Calibri" w:cs="Calibri"/>
        </w:rPr>
        <w:t>Minor modifications to previously approved research.</w:t>
      </w:r>
    </w:p>
    <w:p w14:paraId="498A6CBF" w14:textId="77777777" w:rsidR="00550EB7" w:rsidRPr="00645718" w:rsidRDefault="00550EB7" w:rsidP="00645718">
      <w:pPr>
        <w:spacing w:after="0" w:line="360" w:lineRule="auto"/>
        <w:rPr>
          <w:rFonts w:ascii="Calibri" w:eastAsiaTheme="majorEastAsia" w:hAnsi="Calibri" w:cs="Calibri"/>
        </w:rPr>
      </w:pPr>
      <w:r w:rsidRPr="00645718">
        <w:rPr>
          <w:rFonts w:ascii="Calibri" w:eastAsiaTheme="majorEastAsia" w:hAnsi="Calibri" w:cs="Calibri"/>
        </w:rPr>
        <w:t>When a study qualifies for expedited review, the approval process is generally faster than full board review while still ensuring meaningful ethical evaluation.</w:t>
      </w:r>
    </w:p>
    <w:p w14:paraId="5E7AA4F7" w14:textId="77777777" w:rsidR="00550EB7" w:rsidRPr="00645718" w:rsidRDefault="00550EB7" w:rsidP="00645718">
      <w:pPr>
        <w:pStyle w:val="Heading3"/>
        <w:spacing w:before="0" w:after="0" w:line="360" w:lineRule="auto"/>
        <w:rPr>
          <w:rFonts w:ascii="Calibri" w:hAnsi="Calibri" w:cs="Calibri"/>
          <w:color w:val="auto"/>
          <w:sz w:val="24"/>
          <w:szCs w:val="24"/>
          <w:u w:val="single"/>
        </w:rPr>
      </w:pPr>
      <w:r w:rsidRPr="00645718">
        <w:rPr>
          <w:rFonts w:ascii="Calibri" w:hAnsi="Calibri" w:cs="Calibri"/>
          <w:color w:val="auto"/>
          <w:sz w:val="24"/>
          <w:szCs w:val="24"/>
          <w:u w:val="single"/>
        </w:rPr>
        <w:t>Key Characteristics of Expedited Review</w:t>
      </w:r>
    </w:p>
    <w:p w14:paraId="22177FCF" w14:textId="77777777" w:rsidR="00550EB7" w:rsidRPr="00645718" w:rsidRDefault="00550EB7" w:rsidP="00645718">
      <w:pPr>
        <w:numPr>
          <w:ilvl w:val="0"/>
          <w:numId w:val="38"/>
        </w:numPr>
        <w:spacing w:after="0" w:line="360" w:lineRule="auto"/>
        <w:rPr>
          <w:rFonts w:ascii="Calibri" w:eastAsiaTheme="majorEastAsia" w:hAnsi="Calibri" w:cs="Calibri"/>
        </w:rPr>
      </w:pPr>
      <w:r w:rsidRPr="00645718">
        <w:rPr>
          <w:rFonts w:ascii="Calibri" w:eastAsiaTheme="majorEastAsia" w:hAnsi="Calibri" w:cs="Calibri"/>
        </w:rPr>
        <w:t>Applies to minimal-risk research within federally defined categories.</w:t>
      </w:r>
    </w:p>
    <w:p w14:paraId="7A8EE723" w14:textId="77777777" w:rsidR="00550EB7" w:rsidRPr="00645718" w:rsidRDefault="00550EB7" w:rsidP="00645718">
      <w:pPr>
        <w:numPr>
          <w:ilvl w:val="0"/>
          <w:numId w:val="38"/>
        </w:numPr>
        <w:spacing w:after="0" w:line="360" w:lineRule="auto"/>
        <w:rPr>
          <w:rFonts w:ascii="Calibri" w:eastAsiaTheme="majorEastAsia" w:hAnsi="Calibri" w:cs="Calibri"/>
        </w:rPr>
      </w:pPr>
      <w:r w:rsidRPr="00645718">
        <w:rPr>
          <w:rFonts w:ascii="Calibri" w:eastAsiaTheme="majorEastAsia" w:hAnsi="Calibri" w:cs="Calibri"/>
        </w:rPr>
        <w:t>Review conducted by the IRB chair or designated experienced reviewer.</w:t>
      </w:r>
    </w:p>
    <w:p w14:paraId="574619BB" w14:textId="77777777" w:rsidR="00550EB7" w:rsidRPr="00645718" w:rsidRDefault="00550EB7" w:rsidP="00645718">
      <w:pPr>
        <w:numPr>
          <w:ilvl w:val="0"/>
          <w:numId w:val="38"/>
        </w:numPr>
        <w:spacing w:after="0" w:line="360" w:lineRule="auto"/>
        <w:rPr>
          <w:rFonts w:ascii="Calibri" w:eastAsiaTheme="majorEastAsia" w:hAnsi="Calibri" w:cs="Calibri"/>
        </w:rPr>
      </w:pPr>
      <w:r w:rsidRPr="00645718">
        <w:rPr>
          <w:rFonts w:ascii="Calibri" w:eastAsiaTheme="majorEastAsia" w:hAnsi="Calibri" w:cs="Calibri"/>
        </w:rPr>
        <w:t>Full IRB committee meeting is not required.</w:t>
      </w:r>
    </w:p>
    <w:p w14:paraId="37560A0E" w14:textId="77777777" w:rsidR="00550EB7" w:rsidRPr="00645718" w:rsidRDefault="00550EB7" w:rsidP="00645718">
      <w:pPr>
        <w:numPr>
          <w:ilvl w:val="0"/>
          <w:numId w:val="38"/>
        </w:numPr>
        <w:spacing w:after="0" w:line="360" w:lineRule="auto"/>
        <w:rPr>
          <w:rFonts w:ascii="Calibri" w:eastAsiaTheme="majorEastAsia" w:hAnsi="Calibri" w:cs="Calibri"/>
        </w:rPr>
      </w:pPr>
      <w:r w:rsidRPr="00645718">
        <w:rPr>
          <w:rFonts w:ascii="Calibri" w:eastAsiaTheme="majorEastAsia" w:hAnsi="Calibri" w:cs="Calibri"/>
        </w:rPr>
        <w:t>Continuing review may be required depending on the study type and duration.</w:t>
      </w:r>
    </w:p>
    <w:p w14:paraId="7ACC7CDF" w14:textId="77777777" w:rsidR="00550EB7" w:rsidRPr="00645718" w:rsidRDefault="00550EB7" w:rsidP="00645718">
      <w:pPr>
        <w:spacing w:after="0" w:line="360" w:lineRule="auto"/>
        <w:rPr>
          <w:rFonts w:ascii="Calibri" w:eastAsiaTheme="majorEastAsia" w:hAnsi="Calibri" w:cs="Calibri"/>
        </w:rPr>
      </w:pPr>
      <w:r w:rsidRPr="00645718">
        <w:rPr>
          <w:rFonts w:ascii="Calibri" w:eastAsiaTheme="majorEastAsia" w:hAnsi="Calibri" w:cs="Calibri"/>
        </w:rPr>
        <w:t>This pathway is particularly useful for studies that warrant careful ethical consideration but do not involve substantial risk to participants.</w:t>
      </w:r>
    </w:p>
    <w:p w14:paraId="41F0AD21" w14:textId="77777777" w:rsidR="00550EB7" w:rsidRPr="00645718" w:rsidRDefault="00550EB7" w:rsidP="00645718">
      <w:pPr>
        <w:pStyle w:val="Heading2"/>
        <w:spacing w:before="0" w:after="0" w:line="360" w:lineRule="auto"/>
        <w:rPr>
          <w:rFonts w:ascii="Calibri" w:hAnsi="Calibri" w:cs="Calibri"/>
          <w:b/>
          <w:bCs/>
          <w:color w:val="auto"/>
          <w:sz w:val="28"/>
          <w:szCs w:val="28"/>
        </w:rPr>
      </w:pPr>
      <w:r w:rsidRPr="00645718">
        <w:rPr>
          <w:rFonts w:ascii="Calibri" w:hAnsi="Calibri" w:cs="Calibri"/>
          <w:b/>
          <w:bCs/>
          <w:color w:val="auto"/>
          <w:sz w:val="28"/>
          <w:szCs w:val="28"/>
        </w:rPr>
        <w:t>Full Board IRB Review</w:t>
      </w:r>
    </w:p>
    <w:p w14:paraId="492E9B03" w14:textId="77777777" w:rsidR="00550EB7" w:rsidRPr="00645718" w:rsidRDefault="00550EB7" w:rsidP="00645718">
      <w:pPr>
        <w:pStyle w:val="Heading3"/>
        <w:spacing w:before="0" w:after="0" w:line="360" w:lineRule="auto"/>
        <w:rPr>
          <w:rFonts w:ascii="Calibri" w:hAnsi="Calibri" w:cs="Calibri"/>
          <w:color w:val="auto"/>
          <w:sz w:val="24"/>
          <w:szCs w:val="24"/>
          <w:u w:val="single"/>
        </w:rPr>
      </w:pPr>
      <w:r w:rsidRPr="00645718">
        <w:rPr>
          <w:rFonts w:ascii="Calibri" w:hAnsi="Calibri" w:cs="Calibri"/>
          <w:color w:val="auto"/>
          <w:sz w:val="24"/>
          <w:szCs w:val="24"/>
          <w:u w:val="single"/>
        </w:rPr>
        <w:t>What It Is</w:t>
      </w:r>
    </w:p>
    <w:p w14:paraId="1BFD9BA2" w14:textId="77777777" w:rsidR="00550EB7" w:rsidRPr="00645718" w:rsidRDefault="00550EB7" w:rsidP="00645718">
      <w:pPr>
        <w:spacing w:after="0" w:line="360" w:lineRule="auto"/>
        <w:rPr>
          <w:rFonts w:ascii="Calibri" w:eastAsiaTheme="majorEastAsia" w:hAnsi="Calibri" w:cs="Calibri"/>
        </w:rPr>
      </w:pPr>
      <w:r w:rsidRPr="00645718">
        <w:rPr>
          <w:rFonts w:ascii="Calibri" w:eastAsiaTheme="majorEastAsia" w:hAnsi="Calibri" w:cs="Calibri"/>
        </w:rPr>
        <w:t>Full board review—also called convened review—is the highest level of IRB oversight. It applies to research involving greater than minimal risk or studies that do not qualify for exempt or expedited review.</w:t>
      </w:r>
    </w:p>
    <w:p w14:paraId="6B484BA6" w14:textId="77777777" w:rsidR="00550EB7" w:rsidRPr="00645718" w:rsidRDefault="00550EB7" w:rsidP="00645718">
      <w:pPr>
        <w:spacing w:after="0" w:line="360" w:lineRule="auto"/>
        <w:rPr>
          <w:rFonts w:ascii="Calibri" w:eastAsiaTheme="majorEastAsia" w:hAnsi="Calibri" w:cs="Calibri"/>
        </w:rPr>
      </w:pPr>
      <w:r w:rsidRPr="00645718">
        <w:rPr>
          <w:rFonts w:ascii="Calibri" w:eastAsiaTheme="majorEastAsia" w:hAnsi="Calibri" w:cs="Calibri"/>
        </w:rPr>
        <w:t>Under this process, the full IRB committee meets to discuss, evaluate, and vote on the proposed research. Multiple perspectives contribute to a more comprehensive ethical analysis, particularly for complex or higher-risk studies.</w:t>
      </w:r>
    </w:p>
    <w:p w14:paraId="4F8B092E" w14:textId="77777777" w:rsidR="00550EB7" w:rsidRPr="00645718" w:rsidRDefault="00550EB7" w:rsidP="00645718">
      <w:pPr>
        <w:pStyle w:val="Heading3"/>
        <w:spacing w:before="0" w:after="0" w:line="360" w:lineRule="auto"/>
        <w:rPr>
          <w:rFonts w:ascii="Calibri" w:hAnsi="Calibri" w:cs="Calibri"/>
          <w:color w:val="auto"/>
          <w:sz w:val="24"/>
          <w:szCs w:val="24"/>
          <w:u w:val="single"/>
        </w:rPr>
      </w:pPr>
      <w:r w:rsidRPr="00645718">
        <w:rPr>
          <w:rFonts w:ascii="Calibri" w:hAnsi="Calibri" w:cs="Calibri"/>
          <w:color w:val="auto"/>
          <w:sz w:val="24"/>
          <w:szCs w:val="24"/>
          <w:u w:val="single"/>
        </w:rPr>
        <w:t>When It Applies</w:t>
      </w:r>
    </w:p>
    <w:p w14:paraId="23EBF684" w14:textId="77777777" w:rsidR="00550EB7" w:rsidRPr="00645718" w:rsidRDefault="00550EB7" w:rsidP="00645718">
      <w:pPr>
        <w:spacing w:after="0" w:line="360" w:lineRule="auto"/>
        <w:rPr>
          <w:rFonts w:ascii="Calibri" w:eastAsiaTheme="majorEastAsia" w:hAnsi="Calibri" w:cs="Calibri"/>
        </w:rPr>
      </w:pPr>
      <w:r w:rsidRPr="00645718">
        <w:rPr>
          <w:rFonts w:ascii="Calibri" w:eastAsiaTheme="majorEastAsia" w:hAnsi="Calibri" w:cs="Calibri"/>
        </w:rPr>
        <w:t>Full board review is commonly required for:</w:t>
      </w:r>
    </w:p>
    <w:p w14:paraId="2E5CE066" w14:textId="77777777" w:rsidR="00550EB7" w:rsidRPr="00645718" w:rsidRDefault="00550EB7" w:rsidP="00645718">
      <w:pPr>
        <w:numPr>
          <w:ilvl w:val="0"/>
          <w:numId w:val="39"/>
        </w:numPr>
        <w:spacing w:after="0" w:line="360" w:lineRule="auto"/>
        <w:rPr>
          <w:rFonts w:ascii="Calibri" w:eastAsiaTheme="majorEastAsia" w:hAnsi="Calibri" w:cs="Calibri"/>
        </w:rPr>
      </w:pPr>
      <w:r w:rsidRPr="00645718">
        <w:rPr>
          <w:rFonts w:ascii="Calibri" w:eastAsiaTheme="majorEastAsia" w:hAnsi="Calibri" w:cs="Calibri"/>
        </w:rPr>
        <w:t>Research involving vulnerable populations, such as children, prisoners, or pregnant individuals.</w:t>
      </w:r>
    </w:p>
    <w:p w14:paraId="3C19769B" w14:textId="77777777" w:rsidR="00550EB7" w:rsidRPr="00645718" w:rsidRDefault="00550EB7" w:rsidP="00645718">
      <w:pPr>
        <w:numPr>
          <w:ilvl w:val="0"/>
          <w:numId w:val="39"/>
        </w:numPr>
        <w:spacing w:after="0" w:line="360" w:lineRule="auto"/>
        <w:rPr>
          <w:rFonts w:ascii="Calibri" w:eastAsiaTheme="majorEastAsia" w:hAnsi="Calibri" w:cs="Calibri"/>
        </w:rPr>
      </w:pPr>
      <w:r w:rsidRPr="00645718">
        <w:rPr>
          <w:rFonts w:ascii="Calibri" w:eastAsiaTheme="majorEastAsia" w:hAnsi="Calibri" w:cs="Calibri"/>
        </w:rPr>
        <w:t xml:space="preserve">Studies </w:t>
      </w:r>
      <w:proofErr w:type="gramStart"/>
      <w:r w:rsidRPr="00645718">
        <w:rPr>
          <w:rFonts w:ascii="Calibri" w:eastAsiaTheme="majorEastAsia" w:hAnsi="Calibri" w:cs="Calibri"/>
        </w:rPr>
        <w:t>involving</w:t>
      </w:r>
      <w:proofErr w:type="gramEnd"/>
      <w:r w:rsidRPr="00645718">
        <w:rPr>
          <w:rFonts w:ascii="Calibri" w:eastAsiaTheme="majorEastAsia" w:hAnsi="Calibri" w:cs="Calibri"/>
        </w:rPr>
        <w:t xml:space="preserve"> greater than minimal risk.</w:t>
      </w:r>
    </w:p>
    <w:p w14:paraId="37E7F213" w14:textId="77777777" w:rsidR="00550EB7" w:rsidRPr="00645718" w:rsidRDefault="00550EB7" w:rsidP="00645718">
      <w:pPr>
        <w:numPr>
          <w:ilvl w:val="0"/>
          <w:numId w:val="39"/>
        </w:numPr>
        <w:spacing w:after="0" w:line="360" w:lineRule="auto"/>
        <w:rPr>
          <w:rFonts w:ascii="Calibri" w:eastAsiaTheme="majorEastAsia" w:hAnsi="Calibri" w:cs="Calibri"/>
        </w:rPr>
      </w:pPr>
      <w:r w:rsidRPr="00645718">
        <w:rPr>
          <w:rFonts w:ascii="Calibri" w:eastAsiaTheme="majorEastAsia" w:hAnsi="Calibri" w:cs="Calibri"/>
        </w:rPr>
        <w:lastRenderedPageBreak/>
        <w:t>Clinical trials involving investigational drugs, biologics, or medical devices.</w:t>
      </w:r>
    </w:p>
    <w:p w14:paraId="583E8D9B" w14:textId="77777777" w:rsidR="00550EB7" w:rsidRPr="00645718" w:rsidRDefault="00550EB7" w:rsidP="00645718">
      <w:pPr>
        <w:numPr>
          <w:ilvl w:val="0"/>
          <w:numId w:val="39"/>
        </w:numPr>
        <w:spacing w:after="0" w:line="360" w:lineRule="auto"/>
        <w:rPr>
          <w:rFonts w:ascii="Calibri" w:eastAsiaTheme="majorEastAsia" w:hAnsi="Calibri" w:cs="Calibri"/>
        </w:rPr>
      </w:pPr>
      <w:r w:rsidRPr="00645718">
        <w:rPr>
          <w:rFonts w:ascii="Calibri" w:eastAsiaTheme="majorEastAsia" w:hAnsi="Calibri" w:cs="Calibri"/>
        </w:rPr>
        <w:t>Research that does not meet the criteria for exempt or expedited review.</w:t>
      </w:r>
    </w:p>
    <w:p w14:paraId="72CB50D1" w14:textId="77777777" w:rsidR="00550EB7" w:rsidRPr="00645718" w:rsidRDefault="00550EB7" w:rsidP="00645718">
      <w:pPr>
        <w:spacing w:after="0" w:line="360" w:lineRule="auto"/>
        <w:rPr>
          <w:rFonts w:ascii="Calibri" w:eastAsiaTheme="majorEastAsia" w:hAnsi="Calibri" w:cs="Calibri"/>
        </w:rPr>
      </w:pPr>
      <w:r w:rsidRPr="00645718">
        <w:rPr>
          <w:rFonts w:ascii="Calibri" w:eastAsiaTheme="majorEastAsia" w:hAnsi="Calibri" w:cs="Calibri"/>
        </w:rPr>
        <w:t>For many Phase II, III, and IV clinical trials, full board review represents the standard review pathway.</w:t>
      </w:r>
    </w:p>
    <w:p w14:paraId="7CE85623" w14:textId="77777777" w:rsidR="00550EB7" w:rsidRPr="00645718" w:rsidRDefault="00550EB7" w:rsidP="00645718">
      <w:pPr>
        <w:pStyle w:val="Heading3"/>
        <w:spacing w:before="0" w:after="0" w:line="360" w:lineRule="auto"/>
        <w:rPr>
          <w:rFonts w:ascii="Calibri" w:hAnsi="Calibri" w:cs="Calibri"/>
          <w:color w:val="auto"/>
          <w:sz w:val="24"/>
          <w:szCs w:val="24"/>
          <w:u w:val="single"/>
        </w:rPr>
      </w:pPr>
      <w:r w:rsidRPr="00645718">
        <w:rPr>
          <w:rFonts w:ascii="Calibri" w:hAnsi="Calibri" w:cs="Calibri"/>
          <w:color w:val="auto"/>
          <w:sz w:val="24"/>
          <w:szCs w:val="24"/>
          <w:u w:val="single"/>
        </w:rPr>
        <w:t>Key Characteristics of Full Board Review</w:t>
      </w:r>
    </w:p>
    <w:p w14:paraId="783D726D" w14:textId="77777777" w:rsidR="00550EB7" w:rsidRPr="00645718" w:rsidRDefault="00550EB7" w:rsidP="00645718">
      <w:pPr>
        <w:numPr>
          <w:ilvl w:val="0"/>
          <w:numId w:val="40"/>
        </w:numPr>
        <w:spacing w:after="0" w:line="360" w:lineRule="auto"/>
        <w:rPr>
          <w:rFonts w:ascii="Calibri" w:eastAsiaTheme="majorEastAsia" w:hAnsi="Calibri" w:cs="Calibri"/>
        </w:rPr>
      </w:pPr>
      <w:r w:rsidRPr="00645718">
        <w:rPr>
          <w:rFonts w:ascii="Calibri" w:eastAsiaTheme="majorEastAsia" w:hAnsi="Calibri" w:cs="Calibri"/>
        </w:rPr>
        <w:t>Requires a convened IRB meeting with a quorum present.</w:t>
      </w:r>
    </w:p>
    <w:p w14:paraId="685BA739" w14:textId="77777777" w:rsidR="00550EB7" w:rsidRPr="00645718" w:rsidRDefault="00550EB7" w:rsidP="00645718">
      <w:pPr>
        <w:numPr>
          <w:ilvl w:val="0"/>
          <w:numId w:val="40"/>
        </w:numPr>
        <w:spacing w:after="0" w:line="360" w:lineRule="auto"/>
        <w:rPr>
          <w:rFonts w:ascii="Calibri" w:eastAsiaTheme="majorEastAsia" w:hAnsi="Calibri" w:cs="Calibri"/>
        </w:rPr>
      </w:pPr>
      <w:r w:rsidRPr="00645718">
        <w:rPr>
          <w:rFonts w:ascii="Calibri" w:eastAsiaTheme="majorEastAsia" w:hAnsi="Calibri" w:cs="Calibri"/>
        </w:rPr>
        <w:t>Approval requires a majority vote of the IRB members.</w:t>
      </w:r>
    </w:p>
    <w:p w14:paraId="1F2B17A4" w14:textId="77777777" w:rsidR="00550EB7" w:rsidRPr="00645718" w:rsidRDefault="00550EB7" w:rsidP="00645718">
      <w:pPr>
        <w:numPr>
          <w:ilvl w:val="0"/>
          <w:numId w:val="40"/>
        </w:numPr>
        <w:spacing w:after="0" w:line="360" w:lineRule="auto"/>
        <w:rPr>
          <w:rFonts w:ascii="Calibri" w:eastAsiaTheme="majorEastAsia" w:hAnsi="Calibri" w:cs="Calibri"/>
        </w:rPr>
      </w:pPr>
      <w:r w:rsidRPr="00645718">
        <w:rPr>
          <w:rFonts w:ascii="Calibri" w:eastAsiaTheme="majorEastAsia" w:hAnsi="Calibri" w:cs="Calibri"/>
        </w:rPr>
        <w:t>Involves the most extensive level of review and documentation.</w:t>
      </w:r>
    </w:p>
    <w:p w14:paraId="5336B190" w14:textId="77777777" w:rsidR="00550EB7" w:rsidRPr="00645718" w:rsidRDefault="00550EB7" w:rsidP="00645718">
      <w:pPr>
        <w:numPr>
          <w:ilvl w:val="0"/>
          <w:numId w:val="40"/>
        </w:numPr>
        <w:spacing w:after="0" w:line="360" w:lineRule="auto"/>
        <w:rPr>
          <w:rFonts w:ascii="Calibri" w:eastAsiaTheme="majorEastAsia" w:hAnsi="Calibri" w:cs="Calibri"/>
        </w:rPr>
      </w:pPr>
      <w:r w:rsidRPr="00645718">
        <w:rPr>
          <w:rFonts w:ascii="Calibri" w:eastAsiaTheme="majorEastAsia" w:hAnsi="Calibri" w:cs="Calibri"/>
        </w:rPr>
        <w:t>Continuing review is typically required at least annually.</w:t>
      </w:r>
    </w:p>
    <w:p w14:paraId="7446C9FC" w14:textId="77777777" w:rsidR="00550EB7" w:rsidRPr="00645718" w:rsidRDefault="00550EB7" w:rsidP="00645718">
      <w:pPr>
        <w:numPr>
          <w:ilvl w:val="0"/>
          <w:numId w:val="40"/>
        </w:numPr>
        <w:spacing w:after="0" w:line="360" w:lineRule="auto"/>
        <w:rPr>
          <w:rFonts w:ascii="Calibri" w:eastAsiaTheme="majorEastAsia" w:hAnsi="Calibri" w:cs="Calibri"/>
        </w:rPr>
      </w:pPr>
      <w:r w:rsidRPr="00645718">
        <w:rPr>
          <w:rFonts w:ascii="Calibri" w:eastAsiaTheme="majorEastAsia" w:hAnsi="Calibri" w:cs="Calibri"/>
        </w:rPr>
        <w:t>Modifications or conditions may be required before approval is granted.</w:t>
      </w:r>
    </w:p>
    <w:p w14:paraId="09182FDA" w14:textId="77777777" w:rsidR="00550EB7" w:rsidRPr="00645718" w:rsidRDefault="00550EB7" w:rsidP="00550EB7">
      <w:pPr>
        <w:pStyle w:val="Heading4"/>
        <w:rPr>
          <w:rFonts w:ascii="Calibri" w:hAnsi="Calibri" w:cs="Calibri"/>
          <w:b/>
          <w:bCs/>
          <w:color w:val="auto"/>
        </w:rPr>
      </w:pPr>
      <w:r w:rsidRPr="00645718">
        <w:rPr>
          <w:rFonts w:ascii="Calibri" w:hAnsi="Calibri" w:cs="Calibri"/>
          <w:b/>
          <w:bCs/>
          <w:color w:val="auto"/>
        </w:rPr>
        <w:t xml:space="preserve">IRB Review Types </w:t>
      </w:r>
      <w:proofErr w:type="gramStart"/>
      <w:r w:rsidRPr="00645718">
        <w:rPr>
          <w:rFonts w:ascii="Calibri" w:hAnsi="Calibri" w:cs="Calibri"/>
          <w:b/>
          <w:bCs/>
          <w:color w:val="auto"/>
        </w:rPr>
        <w:t>at a Glance</w:t>
      </w:r>
      <w:proofErr w:type="gram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99"/>
        <w:gridCol w:w="2381"/>
        <w:gridCol w:w="2965"/>
        <w:gridCol w:w="2205"/>
      </w:tblGrid>
      <w:tr w:rsidR="00550EB7" w:rsidRPr="00645718" w14:paraId="0664B946" w14:textId="77777777" w:rsidTr="00D72987">
        <w:trPr>
          <w:jc w:val="center"/>
        </w:trPr>
        <w:tc>
          <w:tcPr>
            <w:tcW w:w="0" w:type="auto"/>
            <w:shd w:val="clear" w:color="auto" w:fill="F2F2F2" w:themeFill="background1" w:themeFillShade="F2"/>
            <w:vAlign w:val="center"/>
            <w:hideMark/>
          </w:tcPr>
          <w:p w14:paraId="7FF06382" w14:textId="77777777" w:rsidR="00550EB7" w:rsidRPr="00645718" w:rsidRDefault="00550EB7" w:rsidP="00550EB7">
            <w:pPr>
              <w:jc w:val="center"/>
              <w:rPr>
                <w:rFonts w:ascii="Calibri" w:eastAsiaTheme="majorEastAsia" w:hAnsi="Calibri" w:cs="Calibri"/>
                <w:b/>
                <w:bCs/>
              </w:rPr>
            </w:pPr>
            <w:r w:rsidRPr="00645718">
              <w:rPr>
                <w:rFonts w:ascii="Calibri" w:eastAsiaTheme="majorEastAsia" w:hAnsi="Calibri" w:cs="Calibri"/>
                <w:b/>
                <w:bCs/>
              </w:rPr>
              <w:t>Feature</w:t>
            </w:r>
          </w:p>
        </w:tc>
        <w:tc>
          <w:tcPr>
            <w:tcW w:w="0" w:type="auto"/>
            <w:shd w:val="clear" w:color="auto" w:fill="F2F2F2" w:themeFill="background1" w:themeFillShade="F2"/>
            <w:vAlign w:val="center"/>
            <w:hideMark/>
          </w:tcPr>
          <w:p w14:paraId="44265D99" w14:textId="77777777" w:rsidR="00550EB7" w:rsidRPr="00645718" w:rsidRDefault="00550EB7" w:rsidP="00550EB7">
            <w:pPr>
              <w:jc w:val="center"/>
              <w:rPr>
                <w:rFonts w:ascii="Calibri" w:eastAsiaTheme="majorEastAsia" w:hAnsi="Calibri" w:cs="Calibri"/>
                <w:b/>
                <w:bCs/>
              </w:rPr>
            </w:pPr>
            <w:r w:rsidRPr="00645718">
              <w:rPr>
                <w:rFonts w:ascii="Calibri" w:eastAsiaTheme="majorEastAsia" w:hAnsi="Calibri" w:cs="Calibri"/>
                <w:b/>
                <w:bCs/>
              </w:rPr>
              <w:t>Exempt Review</w:t>
            </w:r>
          </w:p>
        </w:tc>
        <w:tc>
          <w:tcPr>
            <w:tcW w:w="0" w:type="auto"/>
            <w:shd w:val="clear" w:color="auto" w:fill="F2F2F2" w:themeFill="background1" w:themeFillShade="F2"/>
            <w:vAlign w:val="center"/>
            <w:hideMark/>
          </w:tcPr>
          <w:p w14:paraId="0EE19BAA" w14:textId="77777777" w:rsidR="00550EB7" w:rsidRPr="00645718" w:rsidRDefault="00550EB7" w:rsidP="00550EB7">
            <w:pPr>
              <w:jc w:val="center"/>
              <w:rPr>
                <w:rFonts w:ascii="Calibri" w:eastAsiaTheme="majorEastAsia" w:hAnsi="Calibri" w:cs="Calibri"/>
                <w:b/>
                <w:bCs/>
              </w:rPr>
            </w:pPr>
            <w:r w:rsidRPr="00645718">
              <w:rPr>
                <w:rFonts w:ascii="Calibri" w:eastAsiaTheme="majorEastAsia" w:hAnsi="Calibri" w:cs="Calibri"/>
                <w:b/>
                <w:bCs/>
              </w:rPr>
              <w:t>Expedited Review</w:t>
            </w:r>
          </w:p>
        </w:tc>
        <w:tc>
          <w:tcPr>
            <w:tcW w:w="0" w:type="auto"/>
            <w:shd w:val="clear" w:color="auto" w:fill="F2F2F2" w:themeFill="background1" w:themeFillShade="F2"/>
            <w:vAlign w:val="center"/>
            <w:hideMark/>
          </w:tcPr>
          <w:p w14:paraId="001D7D83" w14:textId="77777777" w:rsidR="00550EB7" w:rsidRPr="00645718" w:rsidRDefault="00550EB7" w:rsidP="00550EB7">
            <w:pPr>
              <w:jc w:val="center"/>
              <w:rPr>
                <w:rFonts w:ascii="Calibri" w:eastAsiaTheme="majorEastAsia" w:hAnsi="Calibri" w:cs="Calibri"/>
                <w:b/>
                <w:bCs/>
              </w:rPr>
            </w:pPr>
            <w:r w:rsidRPr="00645718">
              <w:rPr>
                <w:rFonts w:ascii="Calibri" w:eastAsiaTheme="majorEastAsia" w:hAnsi="Calibri" w:cs="Calibri"/>
                <w:b/>
                <w:bCs/>
              </w:rPr>
              <w:t>Full Board (Convened) Review</w:t>
            </w:r>
          </w:p>
        </w:tc>
      </w:tr>
      <w:tr w:rsidR="00550EB7" w:rsidRPr="00645718" w14:paraId="1C0E52F4" w14:textId="77777777" w:rsidTr="00D72987">
        <w:trPr>
          <w:jc w:val="center"/>
        </w:trPr>
        <w:tc>
          <w:tcPr>
            <w:tcW w:w="0" w:type="auto"/>
            <w:vAlign w:val="center"/>
            <w:hideMark/>
          </w:tcPr>
          <w:p w14:paraId="61246C20" w14:textId="77777777" w:rsidR="00550EB7" w:rsidRPr="00645718" w:rsidRDefault="00550EB7" w:rsidP="00550EB7">
            <w:pPr>
              <w:jc w:val="center"/>
              <w:rPr>
                <w:rFonts w:ascii="Calibri" w:eastAsiaTheme="majorEastAsia" w:hAnsi="Calibri" w:cs="Calibri"/>
              </w:rPr>
            </w:pPr>
            <w:r w:rsidRPr="00645718">
              <w:rPr>
                <w:rFonts w:ascii="Calibri" w:eastAsiaTheme="majorEastAsia" w:hAnsi="Calibri" w:cs="Calibri"/>
              </w:rPr>
              <w:t>Risk Level</w:t>
            </w:r>
          </w:p>
        </w:tc>
        <w:tc>
          <w:tcPr>
            <w:tcW w:w="0" w:type="auto"/>
            <w:vAlign w:val="center"/>
            <w:hideMark/>
          </w:tcPr>
          <w:p w14:paraId="4D54EA97" w14:textId="77777777" w:rsidR="00550EB7" w:rsidRPr="00645718" w:rsidRDefault="00550EB7" w:rsidP="00550EB7">
            <w:pPr>
              <w:jc w:val="center"/>
              <w:rPr>
                <w:rFonts w:ascii="Calibri" w:eastAsiaTheme="majorEastAsia" w:hAnsi="Calibri" w:cs="Calibri"/>
              </w:rPr>
            </w:pPr>
            <w:r w:rsidRPr="00645718">
              <w:rPr>
                <w:rFonts w:ascii="Calibri" w:eastAsiaTheme="majorEastAsia" w:hAnsi="Calibri" w:cs="Calibri"/>
              </w:rPr>
              <w:t>Minimal or no risk</w:t>
            </w:r>
          </w:p>
        </w:tc>
        <w:tc>
          <w:tcPr>
            <w:tcW w:w="0" w:type="auto"/>
            <w:vAlign w:val="center"/>
            <w:hideMark/>
          </w:tcPr>
          <w:p w14:paraId="4DB88A2E" w14:textId="77777777" w:rsidR="00550EB7" w:rsidRPr="00645718" w:rsidRDefault="00550EB7" w:rsidP="00550EB7">
            <w:pPr>
              <w:jc w:val="center"/>
              <w:rPr>
                <w:rFonts w:ascii="Calibri" w:eastAsiaTheme="majorEastAsia" w:hAnsi="Calibri" w:cs="Calibri"/>
              </w:rPr>
            </w:pPr>
            <w:r w:rsidRPr="00645718">
              <w:rPr>
                <w:rFonts w:ascii="Calibri" w:eastAsiaTheme="majorEastAsia" w:hAnsi="Calibri" w:cs="Calibri"/>
              </w:rPr>
              <w:t>Minimal risk</w:t>
            </w:r>
          </w:p>
        </w:tc>
        <w:tc>
          <w:tcPr>
            <w:tcW w:w="0" w:type="auto"/>
            <w:vAlign w:val="center"/>
            <w:hideMark/>
          </w:tcPr>
          <w:p w14:paraId="3B99F30F" w14:textId="77777777" w:rsidR="00550EB7" w:rsidRPr="00645718" w:rsidRDefault="00550EB7" w:rsidP="00550EB7">
            <w:pPr>
              <w:jc w:val="center"/>
              <w:rPr>
                <w:rFonts w:ascii="Calibri" w:eastAsiaTheme="majorEastAsia" w:hAnsi="Calibri" w:cs="Calibri"/>
              </w:rPr>
            </w:pPr>
            <w:r w:rsidRPr="00645718">
              <w:rPr>
                <w:rFonts w:ascii="Calibri" w:eastAsiaTheme="majorEastAsia" w:hAnsi="Calibri" w:cs="Calibri"/>
              </w:rPr>
              <w:t>Greater than minimal risk</w:t>
            </w:r>
          </w:p>
        </w:tc>
      </w:tr>
      <w:tr w:rsidR="00550EB7" w:rsidRPr="00645718" w14:paraId="38D9560F" w14:textId="77777777" w:rsidTr="00D72987">
        <w:trPr>
          <w:jc w:val="center"/>
        </w:trPr>
        <w:tc>
          <w:tcPr>
            <w:tcW w:w="0" w:type="auto"/>
            <w:vAlign w:val="center"/>
            <w:hideMark/>
          </w:tcPr>
          <w:p w14:paraId="6C911F92" w14:textId="77777777" w:rsidR="00550EB7" w:rsidRPr="00645718" w:rsidRDefault="00550EB7" w:rsidP="00550EB7">
            <w:pPr>
              <w:jc w:val="center"/>
              <w:rPr>
                <w:rFonts w:ascii="Calibri" w:eastAsiaTheme="majorEastAsia" w:hAnsi="Calibri" w:cs="Calibri"/>
              </w:rPr>
            </w:pPr>
            <w:r w:rsidRPr="00645718">
              <w:rPr>
                <w:rFonts w:ascii="Calibri" w:eastAsiaTheme="majorEastAsia" w:hAnsi="Calibri" w:cs="Calibri"/>
              </w:rPr>
              <w:t>Review Process</w:t>
            </w:r>
          </w:p>
        </w:tc>
        <w:tc>
          <w:tcPr>
            <w:tcW w:w="0" w:type="auto"/>
            <w:vAlign w:val="center"/>
            <w:hideMark/>
          </w:tcPr>
          <w:p w14:paraId="16752871" w14:textId="77777777" w:rsidR="00550EB7" w:rsidRPr="00645718" w:rsidRDefault="00550EB7" w:rsidP="00550EB7">
            <w:pPr>
              <w:jc w:val="center"/>
              <w:rPr>
                <w:rFonts w:ascii="Calibri" w:eastAsiaTheme="majorEastAsia" w:hAnsi="Calibri" w:cs="Calibri"/>
              </w:rPr>
            </w:pPr>
            <w:r w:rsidRPr="00645718">
              <w:rPr>
                <w:rFonts w:ascii="Calibri" w:eastAsiaTheme="majorEastAsia" w:hAnsi="Calibri" w:cs="Calibri"/>
              </w:rPr>
              <w:t>Designated reviewer</w:t>
            </w:r>
          </w:p>
        </w:tc>
        <w:tc>
          <w:tcPr>
            <w:tcW w:w="0" w:type="auto"/>
            <w:vAlign w:val="center"/>
            <w:hideMark/>
          </w:tcPr>
          <w:p w14:paraId="279D2908" w14:textId="77777777" w:rsidR="00550EB7" w:rsidRPr="00645718" w:rsidRDefault="00550EB7" w:rsidP="00550EB7">
            <w:pPr>
              <w:jc w:val="center"/>
              <w:rPr>
                <w:rFonts w:ascii="Calibri" w:eastAsiaTheme="majorEastAsia" w:hAnsi="Calibri" w:cs="Calibri"/>
              </w:rPr>
            </w:pPr>
            <w:r w:rsidRPr="00645718">
              <w:rPr>
                <w:rFonts w:ascii="Calibri" w:eastAsiaTheme="majorEastAsia" w:hAnsi="Calibri" w:cs="Calibri"/>
              </w:rPr>
              <w:t>IRB chair or designated reviewer</w:t>
            </w:r>
          </w:p>
        </w:tc>
        <w:tc>
          <w:tcPr>
            <w:tcW w:w="0" w:type="auto"/>
            <w:vAlign w:val="center"/>
            <w:hideMark/>
          </w:tcPr>
          <w:p w14:paraId="533BD14D" w14:textId="77777777" w:rsidR="00550EB7" w:rsidRPr="00645718" w:rsidRDefault="00550EB7" w:rsidP="00550EB7">
            <w:pPr>
              <w:jc w:val="center"/>
              <w:rPr>
                <w:rFonts w:ascii="Calibri" w:eastAsiaTheme="majorEastAsia" w:hAnsi="Calibri" w:cs="Calibri"/>
              </w:rPr>
            </w:pPr>
            <w:r w:rsidRPr="00645718">
              <w:rPr>
                <w:rFonts w:ascii="Calibri" w:eastAsiaTheme="majorEastAsia" w:hAnsi="Calibri" w:cs="Calibri"/>
              </w:rPr>
              <w:t>Full committee review</w:t>
            </w:r>
          </w:p>
        </w:tc>
      </w:tr>
      <w:tr w:rsidR="00550EB7" w:rsidRPr="00645718" w14:paraId="1F4090D6" w14:textId="77777777" w:rsidTr="00D72987">
        <w:trPr>
          <w:jc w:val="center"/>
        </w:trPr>
        <w:tc>
          <w:tcPr>
            <w:tcW w:w="0" w:type="auto"/>
            <w:vAlign w:val="center"/>
            <w:hideMark/>
          </w:tcPr>
          <w:p w14:paraId="04C7442F" w14:textId="77777777" w:rsidR="00550EB7" w:rsidRPr="00645718" w:rsidRDefault="00550EB7" w:rsidP="00550EB7">
            <w:pPr>
              <w:jc w:val="center"/>
              <w:rPr>
                <w:rFonts w:ascii="Calibri" w:eastAsiaTheme="majorEastAsia" w:hAnsi="Calibri" w:cs="Calibri"/>
              </w:rPr>
            </w:pPr>
            <w:r w:rsidRPr="00645718">
              <w:rPr>
                <w:rFonts w:ascii="Calibri" w:eastAsiaTheme="majorEastAsia" w:hAnsi="Calibri" w:cs="Calibri"/>
              </w:rPr>
              <w:t>Federal Categories Required</w:t>
            </w:r>
          </w:p>
        </w:tc>
        <w:tc>
          <w:tcPr>
            <w:tcW w:w="0" w:type="auto"/>
            <w:vAlign w:val="center"/>
            <w:hideMark/>
          </w:tcPr>
          <w:p w14:paraId="6B8F8488" w14:textId="77777777" w:rsidR="00550EB7" w:rsidRPr="00645718" w:rsidRDefault="00550EB7" w:rsidP="00550EB7">
            <w:pPr>
              <w:jc w:val="center"/>
              <w:rPr>
                <w:rFonts w:ascii="Calibri" w:eastAsiaTheme="majorEastAsia" w:hAnsi="Calibri" w:cs="Calibri"/>
              </w:rPr>
            </w:pPr>
            <w:r w:rsidRPr="00645718">
              <w:rPr>
                <w:rFonts w:ascii="Calibri" w:eastAsiaTheme="majorEastAsia" w:hAnsi="Calibri" w:cs="Calibri"/>
              </w:rPr>
              <w:t>Yes</w:t>
            </w:r>
          </w:p>
        </w:tc>
        <w:tc>
          <w:tcPr>
            <w:tcW w:w="0" w:type="auto"/>
            <w:vAlign w:val="center"/>
            <w:hideMark/>
          </w:tcPr>
          <w:p w14:paraId="7BDC3DDA" w14:textId="77777777" w:rsidR="00550EB7" w:rsidRPr="00645718" w:rsidRDefault="00550EB7" w:rsidP="00550EB7">
            <w:pPr>
              <w:jc w:val="center"/>
              <w:rPr>
                <w:rFonts w:ascii="Calibri" w:eastAsiaTheme="majorEastAsia" w:hAnsi="Calibri" w:cs="Calibri"/>
              </w:rPr>
            </w:pPr>
            <w:r w:rsidRPr="00645718">
              <w:rPr>
                <w:rFonts w:ascii="Calibri" w:eastAsiaTheme="majorEastAsia" w:hAnsi="Calibri" w:cs="Calibri"/>
              </w:rPr>
              <w:t>Yes</w:t>
            </w:r>
          </w:p>
        </w:tc>
        <w:tc>
          <w:tcPr>
            <w:tcW w:w="0" w:type="auto"/>
            <w:vAlign w:val="center"/>
            <w:hideMark/>
          </w:tcPr>
          <w:p w14:paraId="4B3DDC7D" w14:textId="77777777" w:rsidR="00550EB7" w:rsidRPr="00645718" w:rsidRDefault="00550EB7" w:rsidP="00550EB7">
            <w:pPr>
              <w:jc w:val="center"/>
              <w:rPr>
                <w:rFonts w:ascii="Calibri" w:eastAsiaTheme="majorEastAsia" w:hAnsi="Calibri" w:cs="Calibri"/>
              </w:rPr>
            </w:pPr>
            <w:r w:rsidRPr="00645718">
              <w:rPr>
                <w:rFonts w:ascii="Calibri" w:eastAsiaTheme="majorEastAsia" w:hAnsi="Calibri" w:cs="Calibri"/>
              </w:rPr>
              <w:t>No</w:t>
            </w:r>
          </w:p>
        </w:tc>
      </w:tr>
      <w:tr w:rsidR="00550EB7" w:rsidRPr="00645718" w14:paraId="1794F9CC" w14:textId="77777777" w:rsidTr="00D72987">
        <w:trPr>
          <w:jc w:val="center"/>
        </w:trPr>
        <w:tc>
          <w:tcPr>
            <w:tcW w:w="0" w:type="auto"/>
            <w:vAlign w:val="center"/>
            <w:hideMark/>
          </w:tcPr>
          <w:p w14:paraId="0B012B07" w14:textId="77777777" w:rsidR="00550EB7" w:rsidRPr="00645718" w:rsidRDefault="00550EB7" w:rsidP="00550EB7">
            <w:pPr>
              <w:jc w:val="center"/>
              <w:rPr>
                <w:rFonts w:ascii="Calibri" w:eastAsiaTheme="majorEastAsia" w:hAnsi="Calibri" w:cs="Calibri"/>
              </w:rPr>
            </w:pPr>
            <w:r w:rsidRPr="00645718">
              <w:rPr>
                <w:rFonts w:ascii="Calibri" w:eastAsiaTheme="majorEastAsia" w:hAnsi="Calibri" w:cs="Calibri"/>
              </w:rPr>
              <w:t>Continuing Review Required</w:t>
            </w:r>
          </w:p>
        </w:tc>
        <w:tc>
          <w:tcPr>
            <w:tcW w:w="0" w:type="auto"/>
            <w:vAlign w:val="center"/>
            <w:hideMark/>
          </w:tcPr>
          <w:p w14:paraId="46DC5162" w14:textId="2BD1A4D8" w:rsidR="00550EB7" w:rsidRPr="00645718" w:rsidRDefault="00550EB7" w:rsidP="00550EB7">
            <w:pPr>
              <w:jc w:val="center"/>
              <w:rPr>
                <w:rFonts w:ascii="Calibri" w:eastAsiaTheme="majorEastAsia" w:hAnsi="Calibri" w:cs="Calibri"/>
              </w:rPr>
            </w:pPr>
            <w:r w:rsidRPr="00645718">
              <w:rPr>
                <w:rFonts w:ascii="Calibri" w:eastAsiaTheme="majorEastAsia" w:hAnsi="Calibri" w:cs="Calibri"/>
              </w:rPr>
              <w:t>No</w:t>
            </w:r>
          </w:p>
        </w:tc>
        <w:tc>
          <w:tcPr>
            <w:tcW w:w="0" w:type="auto"/>
            <w:vAlign w:val="center"/>
            <w:hideMark/>
          </w:tcPr>
          <w:p w14:paraId="0D2AEC07" w14:textId="77777777" w:rsidR="00550EB7" w:rsidRPr="00645718" w:rsidRDefault="00550EB7" w:rsidP="00550EB7">
            <w:pPr>
              <w:jc w:val="center"/>
              <w:rPr>
                <w:rFonts w:ascii="Calibri" w:eastAsiaTheme="majorEastAsia" w:hAnsi="Calibri" w:cs="Calibri"/>
              </w:rPr>
            </w:pPr>
            <w:r w:rsidRPr="00645718">
              <w:rPr>
                <w:rFonts w:ascii="Calibri" w:eastAsiaTheme="majorEastAsia" w:hAnsi="Calibri" w:cs="Calibri"/>
              </w:rPr>
              <w:t>Sometimes</w:t>
            </w:r>
          </w:p>
        </w:tc>
        <w:tc>
          <w:tcPr>
            <w:tcW w:w="0" w:type="auto"/>
            <w:vAlign w:val="center"/>
            <w:hideMark/>
          </w:tcPr>
          <w:p w14:paraId="42AD90B3" w14:textId="1C0454BD" w:rsidR="00550EB7" w:rsidRPr="00645718" w:rsidRDefault="00550EB7" w:rsidP="00550EB7">
            <w:pPr>
              <w:jc w:val="center"/>
              <w:rPr>
                <w:rFonts w:ascii="Calibri" w:eastAsiaTheme="majorEastAsia" w:hAnsi="Calibri" w:cs="Calibri"/>
              </w:rPr>
            </w:pPr>
            <w:r w:rsidRPr="00645718">
              <w:rPr>
                <w:rFonts w:ascii="Calibri" w:eastAsiaTheme="majorEastAsia" w:hAnsi="Calibri" w:cs="Calibri"/>
              </w:rPr>
              <w:t>Yes</w:t>
            </w:r>
          </w:p>
        </w:tc>
      </w:tr>
      <w:tr w:rsidR="00550EB7" w:rsidRPr="00645718" w14:paraId="40805F84" w14:textId="77777777" w:rsidTr="00D72987">
        <w:trPr>
          <w:jc w:val="center"/>
        </w:trPr>
        <w:tc>
          <w:tcPr>
            <w:tcW w:w="0" w:type="auto"/>
            <w:vAlign w:val="center"/>
            <w:hideMark/>
          </w:tcPr>
          <w:p w14:paraId="493FC79F" w14:textId="77777777" w:rsidR="00550EB7" w:rsidRPr="00645718" w:rsidRDefault="00550EB7" w:rsidP="00550EB7">
            <w:pPr>
              <w:jc w:val="center"/>
              <w:rPr>
                <w:rFonts w:ascii="Calibri" w:eastAsiaTheme="majorEastAsia" w:hAnsi="Calibri" w:cs="Calibri"/>
              </w:rPr>
            </w:pPr>
            <w:r w:rsidRPr="00645718">
              <w:rPr>
                <w:rFonts w:ascii="Calibri" w:eastAsiaTheme="majorEastAsia" w:hAnsi="Calibri" w:cs="Calibri"/>
              </w:rPr>
              <w:t>Common Study Types</w:t>
            </w:r>
          </w:p>
        </w:tc>
        <w:tc>
          <w:tcPr>
            <w:tcW w:w="0" w:type="auto"/>
            <w:vAlign w:val="center"/>
            <w:hideMark/>
          </w:tcPr>
          <w:p w14:paraId="2EDA07AA" w14:textId="77777777" w:rsidR="00550EB7" w:rsidRPr="00645718" w:rsidRDefault="00550EB7" w:rsidP="00550EB7">
            <w:pPr>
              <w:jc w:val="center"/>
              <w:rPr>
                <w:rFonts w:ascii="Calibri" w:eastAsiaTheme="majorEastAsia" w:hAnsi="Calibri" w:cs="Calibri"/>
              </w:rPr>
            </w:pPr>
            <w:r w:rsidRPr="00645718">
              <w:rPr>
                <w:rFonts w:ascii="Calibri" w:eastAsiaTheme="majorEastAsia" w:hAnsi="Calibri" w:cs="Calibri"/>
              </w:rPr>
              <w:t>Surveys, interviews, educational research</w:t>
            </w:r>
          </w:p>
        </w:tc>
        <w:tc>
          <w:tcPr>
            <w:tcW w:w="0" w:type="auto"/>
            <w:vAlign w:val="center"/>
            <w:hideMark/>
          </w:tcPr>
          <w:p w14:paraId="7D64C39F" w14:textId="77777777" w:rsidR="00550EB7" w:rsidRPr="00645718" w:rsidRDefault="00550EB7" w:rsidP="00550EB7">
            <w:pPr>
              <w:jc w:val="center"/>
              <w:rPr>
                <w:rFonts w:ascii="Calibri" w:eastAsiaTheme="majorEastAsia" w:hAnsi="Calibri" w:cs="Calibri"/>
              </w:rPr>
            </w:pPr>
            <w:r w:rsidRPr="00645718">
              <w:rPr>
                <w:rFonts w:ascii="Calibri" w:eastAsiaTheme="majorEastAsia" w:hAnsi="Calibri" w:cs="Calibri"/>
              </w:rPr>
              <w:t>Blood draws, behavioral studies, minor modifications</w:t>
            </w:r>
          </w:p>
        </w:tc>
        <w:tc>
          <w:tcPr>
            <w:tcW w:w="0" w:type="auto"/>
            <w:vAlign w:val="center"/>
            <w:hideMark/>
          </w:tcPr>
          <w:p w14:paraId="1DB193D0" w14:textId="77777777" w:rsidR="00550EB7" w:rsidRPr="00645718" w:rsidRDefault="00550EB7" w:rsidP="00550EB7">
            <w:pPr>
              <w:jc w:val="center"/>
              <w:rPr>
                <w:rFonts w:ascii="Calibri" w:eastAsiaTheme="majorEastAsia" w:hAnsi="Calibri" w:cs="Calibri"/>
              </w:rPr>
            </w:pPr>
            <w:r w:rsidRPr="00645718">
              <w:rPr>
                <w:rFonts w:ascii="Calibri" w:eastAsiaTheme="majorEastAsia" w:hAnsi="Calibri" w:cs="Calibri"/>
              </w:rPr>
              <w:t>Clinical trials, vulnerable populations</w:t>
            </w:r>
          </w:p>
        </w:tc>
      </w:tr>
      <w:tr w:rsidR="00550EB7" w:rsidRPr="00645718" w14:paraId="14290075" w14:textId="77777777" w:rsidTr="00D72987">
        <w:trPr>
          <w:jc w:val="center"/>
        </w:trPr>
        <w:tc>
          <w:tcPr>
            <w:tcW w:w="0" w:type="auto"/>
            <w:vAlign w:val="center"/>
            <w:hideMark/>
          </w:tcPr>
          <w:p w14:paraId="17DD1356" w14:textId="77777777" w:rsidR="00550EB7" w:rsidRPr="00645718" w:rsidRDefault="00550EB7" w:rsidP="00550EB7">
            <w:pPr>
              <w:jc w:val="center"/>
              <w:rPr>
                <w:rFonts w:ascii="Calibri" w:eastAsiaTheme="majorEastAsia" w:hAnsi="Calibri" w:cs="Calibri"/>
              </w:rPr>
            </w:pPr>
            <w:r w:rsidRPr="00645718">
              <w:rPr>
                <w:rFonts w:ascii="Calibri" w:eastAsiaTheme="majorEastAsia" w:hAnsi="Calibri" w:cs="Calibri"/>
              </w:rPr>
              <w:t>Approval Timeline</w:t>
            </w:r>
          </w:p>
        </w:tc>
        <w:tc>
          <w:tcPr>
            <w:tcW w:w="0" w:type="auto"/>
            <w:vAlign w:val="center"/>
            <w:hideMark/>
          </w:tcPr>
          <w:p w14:paraId="173B8F8E" w14:textId="77777777" w:rsidR="00550EB7" w:rsidRPr="00645718" w:rsidRDefault="00550EB7" w:rsidP="00550EB7">
            <w:pPr>
              <w:jc w:val="center"/>
              <w:rPr>
                <w:rFonts w:ascii="Calibri" w:eastAsiaTheme="majorEastAsia" w:hAnsi="Calibri" w:cs="Calibri"/>
              </w:rPr>
            </w:pPr>
            <w:r w:rsidRPr="00645718">
              <w:rPr>
                <w:rFonts w:ascii="Calibri" w:eastAsiaTheme="majorEastAsia" w:hAnsi="Calibri" w:cs="Calibri"/>
              </w:rPr>
              <w:t>Fastest</w:t>
            </w:r>
          </w:p>
        </w:tc>
        <w:tc>
          <w:tcPr>
            <w:tcW w:w="0" w:type="auto"/>
            <w:vAlign w:val="center"/>
            <w:hideMark/>
          </w:tcPr>
          <w:p w14:paraId="62FEEEBC" w14:textId="77777777" w:rsidR="00550EB7" w:rsidRPr="00645718" w:rsidRDefault="00550EB7" w:rsidP="00550EB7">
            <w:pPr>
              <w:jc w:val="center"/>
              <w:rPr>
                <w:rFonts w:ascii="Calibri" w:eastAsiaTheme="majorEastAsia" w:hAnsi="Calibri" w:cs="Calibri"/>
              </w:rPr>
            </w:pPr>
            <w:r w:rsidRPr="00645718">
              <w:rPr>
                <w:rFonts w:ascii="Calibri" w:eastAsiaTheme="majorEastAsia" w:hAnsi="Calibri" w:cs="Calibri"/>
              </w:rPr>
              <w:t>Moderate</w:t>
            </w:r>
          </w:p>
        </w:tc>
        <w:tc>
          <w:tcPr>
            <w:tcW w:w="0" w:type="auto"/>
            <w:vAlign w:val="center"/>
            <w:hideMark/>
          </w:tcPr>
          <w:p w14:paraId="69198C51" w14:textId="77777777" w:rsidR="00550EB7" w:rsidRPr="00645718" w:rsidRDefault="00550EB7" w:rsidP="00550EB7">
            <w:pPr>
              <w:jc w:val="center"/>
              <w:rPr>
                <w:rFonts w:ascii="Calibri" w:eastAsiaTheme="majorEastAsia" w:hAnsi="Calibri" w:cs="Calibri"/>
              </w:rPr>
            </w:pPr>
            <w:r w:rsidRPr="00645718">
              <w:rPr>
                <w:rFonts w:ascii="Calibri" w:eastAsiaTheme="majorEastAsia" w:hAnsi="Calibri" w:cs="Calibri"/>
              </w:rPr>
              <w:t>Longest</w:t>
            </w:r>
          </w:p>
        </w:tc>
      </w:tr>
      <w:tr w:rsidR="00550EB7" w:rsidRPr="00645718" w14:paraId="5FDDB906" w14:textId="77777777" w:rsidTr="00D72987">
        <w:trPr>
          <w:jc w:val="center"/>
        </w:trPr>
        <w:tc>
          <w:tcPr>
            <w:tcW w:w="0" w:type="auto"/>
            <w:vAlign w:val="center"/>
            <w:hideMark/>
          </w:tcPr>
          <w:p w14:paraId="040333BE" w14:textId="77777777" w:rsidR="00550EB7" w:rsidRPr="00645718" w:rsidRDefault="00550EB7" w:rsidP="00550EB7">
            <w:pPr>
              <w:jc w:val="center"/>
              <w:rPr>
                <w:rFonts w:ascii="Calibri" w:eastAsiaTheme="majorEastAsia" w:hAnsi="Calibri" w:cs="Calibri"/>
              </w:rPr>
            </w:pPr>
            <w:r w:rsidRPr="00645718">
              <w:rPr>
                <w:rFonts w:ascii="Calibri" w:eastAsiaTheme="majorEastAsia" w:hAnsi="Calibri" w:cs="Calibri"/>
              </w:rPr>
              <w:t>Limited IRB Review</w:t>
            </w:r>
          </w:p>
        </w:tc>
        <w:tc>
          <w:tcPr>
            <w:tcW w:w="0" w:type="auto"/>
            <w:vAlign w:val="center"/>
            <w:hideMark/>
          </w:tcPr>
          <w:p w14:paraId="09E4AC16" w14:textId="77777777" w:rsidR="00550EB7" w:rsidRPr="00645718" w:rsidRDefault="00550EB7" w:rsidP="00550EB7">
            <w:pPr>
              <w:jc w:val="center"/>
              <w:rPr>
                <w:rFonts w:ascii="Calibri" w:eastAsiaTheme="majorEastAsia" w:hAnsi="Calibri" w:cs="Calibri"/>
              </w:rPr>
            </w:pPr>
            <w:r w:rsidRPr="00645718">
              <w:rPr>
                <w:rFonts w:ascii="Calibri" w:eastAsiaTheme="majorEastAsia" w:hAnsi="Calibri" w:cs="Calibri"/>
              </w:rPr>
              <w:t>Sometimes required</w:t>
            </w:r>
          </w:p>
        </w:tc>
        <w:tc>
          <w:tcPr>
            <w:tcW w:w="0" w:type="auto"/>
            <w:vAlign w:val="center"/>
            <w:hideMark/>
          </w:tcPr>
          <w:p w14:paraId="24AA73FA" w14:textId="77777777" w:rsidR="00550EB7" w:rsidRPr="00645718" w:rsidRDefault="00550EB7" w:rsidP="00550EB7">
            <w:pPr>
              <w:jc w:val="center"/>
              <w:rPr>
                <w:rFonts w:ascii="Calibri" w:eastAsiaTheme="majorEastAsia" w:hAnsi="Calibri" w:cs="Calibri"/>
              </w:rPr>
            </w:pPr>
            <w:r w:rsidRPr="00645718">
              <w:rPr>
                <w:rFonts w:ascii="Calibri" w:eastAsiaTheme="majorEastAsia" w:hAnsi="Calibri" w:cs="Calibri"/>
              </w:rPr>
              <w:t>Not applicable</w:t>
            </w:r>
          </w:p>
        </w:tc>
        <w:tc>
          <w:tcPr>
            <w:tcW w:w="0" w:type="auto"/>
            <w:vAlign w:val="center"/>
            <w:hideMark/>
          </w:tcPr>
          <w:p w14:paraId="3A300933" w14:textId="77777777" w:rsidR="00550EB7" w:rsidRPr="00645718" w:rsidRDefault="00550EB7" w:rsidP="00550EB7">
            <w:pPr>
              <w:jc w:val="center"/>
              <w:rPr>
                <w:rFonts w:ascii="Calibri" w:eastAsiaTheme="majorEastAsia" w:hAnsi="Calibri" w:cs="Calibri"/>
              </w:rPr>
            </w:pPr>
            <w:r w:rsidRPr="00645718">
              <w:rPr>
                <w:rFonts w:ascii="Calibri" w:eastAsiaTheme="majorEastAsia" w:hAnsi="Calibri" w:cs="Calibri"/>
              </w:rPr>
              <w:t>Not applicable</w:t>
            </w:r>
          </w:p>
        </w:tc>
      </w:tr>
    </w:tbl>
    <w:p w14:paraId="7B5C42C4" w14:textId="77777777" w:rsidR="00550EB7" w:rsidRPr="00645718" w:rsidRDefault="00550EB7" w:rsidP="00550EB7">
      <w:pPr>
        <w:pStyle w:val="Heading3"/>
        <w:rPr>
          <w:rFonts w:ascii="Calibri" w:hAnsi="Calibri" w:cs="Calibri"/>
          <w:color w:val="auto"/>
          <w:sz w:val="24"/>
          <w:szCs w:val="24"/>
          <w:u w:val="single"/>
        </w:rPr>
      </w:pPr>
      <w:r w:rsidRPr="00645718">
        <w:rPr>
          <w:rFonts w:ascii="Calibri" w:hAnsi="Calibri" w:cs="Calibri"/>
          <w:color w:val="auto"/>
          <w:sz w:val="24"/>
          <w:szCs w:val="24"/>
          <w:u w:val="single"/>
        </w:rPr>
        <w:lastRenderedPageBreak/>
        <w:t>How to Determine Which Review Type Your Study Needs</w:t>
      </w:r>
    </w:p>
    <w:p w14:paraId="1D7A4075" w14:textId="77777777" w:rsidR="00550EB7" w:rsidRPr="00645718" w:rsidRDefault="00550EB7" w:rsidP="00550EB7">
      <w:pPr>
        <w:rPr>
          <w:rFonts w:ascii="Calibri" w:eastAsiaTheme="majorEastAsia" w:hAnsi="Calibri" w:cs="Calibri"/>
        </w:rPr>
      </w:pPr>
      <w:r w:rsidRPr="00645718">
        <w:rPr>
          <w:rFonts w:ascii="Calibri" w:eastAsiaTheme="majorEastAsia" w:hAnsi="Calibri" w:cs="Calibri"/>
        </w:rPr>
        <w:t>Determining the appropriate review category begins with a thorough IRB submission. Researchers should clearly describe the study design, participant population, procedures, data collection methods, and potential risks. Based on this information, the IRB will assign the appropriate level of review.</w:t>
      </w:r>
    </w:p>
    <w:p w14:paraId="760787AA" w14:textId="77777777" w:rsidR="00550EB7" w:rsidRPr="00645718" w:rsidRDefault="00550EB7" w:rsidP="00550EB7">
      <w:pPr>
        <w:rPr>
          <w:rFonts w:ascii="Calibri" w:eastAsiaTheme="majorEastAsia" w:hAnsi="Calibri" w:cs="Calibri"/>
        </w:rPr>
      </w:pPr>
      <w:r w:rsidRPr="00645718">
        <w:rPr>
          <w:rFonts w:ascii="Calibri" w:eastAsiaTheme="majorEastAsia" w:hAnsi="Calibri" w:cs="Calibri"/>
        </w:rPr>
        <w:t>Several practical steps can help facilitate an efficient review process:</w:t>
      </w:r>
    </w:p>
    <w:p w14:paraId="19EC89AF" w14:textId="77777777" w:rsidR="00550EB7" w:rsidRPr="00645718" w:rsidRDefault="00550EB7" w:rsidP="00550EB7">
      <w:pPr>
        <w:numPr>
          <w:ilvl w:val="0"/>
          <w:numId w:val="41"/>
        </w:numPr>
        <w:rPr>
          <w:rFonts w:ascii="Calibri" w:eastAsiaTheme="majorEastAsia" w:hAnsi="Calibri" w:cs="Calibri"/>
        </w:rPr>
      </w:pPr>
      <w:r w:rsidRPr="00645718">
        <w:rPr>
          <w:rFonts w:ascii="Calibri" w:eastAsiaTheme="majorEastAsia" w:hAnsi="Calibri" w:cs="Calibri"/>
          <w:b/>
          <w:bCs/>
        </w:rPr>
        <w:t>Know your study population.</w:t>
      </w:r>
      <w:r w:rsidRPr="00645718">
        <w:rPr>
          <w:rFonts w:ascii="Calibri" w:eastAsiaTheme="majorEastAsia" w:hAnsi="Calibri" w:cs="Calibri"/>
        </w:rPr>
        <w:t xml:space="preserve"> Research involving children, prisoners, pregnant individuals, or cognitively impaired participants is more likely to require full board review.</w:t>
      </w:r>
    </w:p>
    <w:p w14:paraId="226ABB0B" w14:textId="77777777" w:rsidR="00550EB7" w:rsidRPr="00645718" w:rsidRDefault="00550EB7" w:rsidP="00550EB7">
      <w:pPr>
        <w:numPr>
          <w:ilvl w:val="0"/>
          <w:numId w:val="41"/>
        </w:numPr>
        <w:rPr>
          <w:rFonts w:ascii="Calibri" w:eastAsiaTheme="majorEastAsia" w:hAnsi="Calibri" w:cs="Calibri"/>
        </w:rPr>
      </w:pPr>
      <w:r w:rsidRPr="00645718">
        <w:rPr>
          <w:rFonts w:ascii="Calibri" w:eastAsiaTheme="majorEastAsia" w:hAnsi="Calibri" w:cs="Calibri"/>
          <w:b/>
          <w:bCs/>
        </w:rPr>
        <w:t>Assess risk accurately.</w:t>
      </w:r>
      <w:r w:rsidRPr="00645718">
        <w:rPr>
          <w:rFonts w:ascii="Calibri" w:eastAsiaTheme="majorEastAsia" w:hAnsi="Calibri" w:cs="Calibri"/>
        </w:rPr>
        <w:t xml:space="preserve"> Underestimating or overstating risk may delay the review process.</w:t>
      </w:r>
    </w:p>
    <w:p w14:paraId="73965EDF" w14:textId="77777777" w:rsidR="00550EB7" w:rsidRPr="00645718" w:rsidRDefault="00550EB7" w:rsidP="00550EB7">
      <w:pPr>
        <w:numPr>
          <w:ilvl w:val="0"/>
          <w:numId w:val="41"/>
        </w:numPr>
        <w:rPr>
          <w:rFonts w:ascii="Calibri" w:eastAsiaTheme="majorEastAsia" w:hAnsi="Calibri" w:cs="Calibri"/>
        </w:rPr>
      </w:pPr>
      <w:r w:rsidRPr="00645718">
        <w:rPr>
          <w:rFonts w:ascii="Calibri" w:eastAsiaTheme="majorEastAsia" w:hAnsi="Calibri" w:cs="Calibri"/>
          <w:b/>
          <w:bCs/>
        </w:rPr>
        <w:t>Review federal categories in advance.</w:t>
      </w:r>
      <w:r w:rsidRPr="00645718">
        <w:rPr>
          <w:rFonts w:ascii="Calibri" w:eastAsiaTheme="majorEastAsia" w:hAnsi="Calibri" w:cs="Calibri"/>
        </w:rPr>
        <w:t xml:space="preserve"> Familiarity with exempt and expedited review categories can help set realistic expectations.</w:t>
      </w:r>
    </w:p>
    <w:p w14:paraId="6AC294F5" w14:textId="77777777" w:rsidR="00550EB7" w:rsidRPr="00645718" w:rsidRDefault="00550EB7" w:rsidP="00550EB7">
      <w:pPr>
        <w:numPr>
          <w:ilvl w:val="0"/>
          <w:numId w:val="41"/>
        </w:numPr>
        <w:rPr>
          <w:rFonts w:ascii="Calibri" w:eastAsiaTheme="majorEastAsia" w:hAnsi="Calibri" w:cs="Calibri"/>
        </w:rPr>
      </w:pPr>
      <w:r w:rsidRPr="00645718">
        <w:rPr>
          <w:rFonts w:ascii="Calibri" w:eastAsiaTheme="majorEastAsia" w:hAnsi="Calibri" w:cs="Calibri"/>
          <w:b/>
          <w:bCs/>
        </w:rPr>
        <w:t>Consult the IRB early.</w:t>
      </w:r>
      <w:r w:rsidRPr="00645718">
        <w:rPr>
          <w:rFonts w:ascii="Calibri" w:eastAsiaTheme="majorEastAsia" w:hAnsi="Calibri" w:cs="Calibri"/>
        </w:rPr>
        <w:t xml:space="preserve"> Many institutions and independent IRBs offer pre-submission consultations that can clarify the appropriate review pathway before a full application is prepared.</w:t>
      </w:r>
    </w:p>
    <w:p w14:paraId="45D97643" w14:textId="77777777" w:rsidR="00550EB7" w:rsidRPr="00645718" w:rsidRDefault="00550EB7" w:rsidP="00550EB7">
      <w:pPr>
        <w:rPr>
          <w:rFonts w:ascii="Calibri" w:eastAsiaTheme="majorEastAsia" w:hAnsi="Calibri" w:cs="Calibri"/>
        </w:rPr>
      </w:pPr>
      <w:r w:rsidRPr="00645718">
        <w:rPr>
          <w:rFonts w:ascii="Calibri" w:eastAsiaTheme="majorEastAsia" w:hAnsi="Calibri" w:cs="Calibri"/>
        </w:rPr>
        <w:t>Understanding the distinctions among exempt, expedited, and full board review helps researchers navigate the IRB process more effectively while ensuring appropriate protections for human research participants.</w:t>
      </w:r>
    </w:p>
    <w:p w14:paraId="6E5F191D" w14:textId="77777777" w:rsidR="004A63A7" w:rsidRPr="00550EB7" w:rsidRDefault="004A63A7" w:rsidP="00550EB7"/>
    <w:sectPr w:rsidR="004A63A7" w:rsidRPr="00550E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4C3C"/>
    <w:multiLevelType w:val="multilevel"/>
    <w:tmpl w:val="B4B40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A538D7"/>
    <w:multiLevelType w:val="multilevel"/>
    <w:tmpl w:val="B6BE4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2B7A4C"/>
    <w:multiLevelType w:val="multilevel"/>
    <w:tmpl w:val="209EA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D96B7C"/>
    <w:multiLevelType w:val="multilevel"/>
    <w:tmpl w:val="A5C61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66268F"/>
    <w:multiLevelType w:val="multilevel"/>
    <w:tmpl w:val="CC8E0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67137C"/>
    <w:multiLevelType w:val="multilevel"/>
    <w:tmpl w:val="7F4AB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E92C3F"/>
    <w:multiLevelType w:val="multilevel"/>
    <w:tmpl w:val="752C9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817A70"/>
    <w:multiLevelType w:val="multilevel"/>
    <w:tmpl w:val="E26E3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833FC1"/>
    <w:multiLevelType w:val="multilevel"/>
    <w:tmpl w:val="3F609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23140F"/>
    <w:multiLevelType w:val="multilevel"/>
    <w:tmpl w:val="60809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BC3F66"/>
    <w:multiLevelType w:val="multilevel"/>
    <w:tmpl w:val="EE4EC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737E47"/>
    <w:multiLevelType w:val="multilevel"/>
    <w:tmpl w:val="9AF65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EB5356"/>
    <w:multiLevelType w:val="multilevel"/>
    <w:tmpl w:val="BF6AC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FB6155"/>
    <w:multiLevelType w:val="multilevel"/>
    <w:tmpl w:val="7708F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093534"/>
    <w:multiLevelType w:val="multilevel"/>
    <w:tmpl w:val="86D2C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D71D16"/>
    <w:multiLevelType w:val="multilevel"/>
    <w:tmpl w:val="1E4CB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A612A0"/>
    <w:multiLevelType w:val="multilevel"/>
    <w:tmpl w:val="5622C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A67EB4"/>
    <w:multiLevelType w:val="multilevel"/>
    <w:tmpl w:val="48204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D472C7"/>
    <w:multiLevelType w:val="multilevel"/>
    <w:tmpl w:val="35987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2969C8"/>
    <w:multiLevelType w:val="multilevel"/>
    <w:tmpl w:val="FB465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7F3F6F"/>
    <w:multiLevelType w:val="multilevel"/>
    <w:tmpl w:val="8E3E5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15587D"/>
    <w:multiLevelType w:val="multilevel"/>
    <w:tmpl w:val="D44AA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F714A7"/>
    <w:multiLevelType w:val="multilevel"/>
    <w:tmpl w:val="E286E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5B2F0C"/>
    <w:multiLevelType w:val="multilevel"/>
    <w:tmpl w:val="45F67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2B5CAF"/>
    <w:multiLevelType w:val="multilevel"/>
    <w:tmpl w:val="C8E23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A1729E"/>
    <w:multiLevelType w:val="multilevel"/>
    <w:tmpl w:val="EA60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416E4A"/>
    <w:multiLevelType w:val="multilevel"/>
    <w:tmpl w:val="C0E6B0A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63CC5DBF"/>
    <w:multiLevelType w:val="multilevel"/>
    <w:tmpl w:val="65D8A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DC6CEC"/>
    <w:multiLevelType w:val="multilevel"/>
    <w:tmpl w:val="C3C04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4913D4"/>
    <w:multiLevelType w:val="multilevel"/>
    <w:tmpl w:val="CEBA7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E1172E"/>
    <w:multiLevelType w:val="multilevel"/>
    <w:tmpl w:val="0270E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FD47455"/>
    <w:multiLevelType w:val="multilevel"/>
    <w:tmpl w:val="5E54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2C6215"/>
    <w:multiLevelType w:val="multilevel"/>
    <w:tmpl w:val="0BAE6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23288F"/>
    <w:multiLevelType w:val="multilevel"/>
    <w:tmpl w:val="6498B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E76F5E"/>
    <w:multiLevelType w:val="multilevel"/>
    <w:tmpl w:val="875A2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881552"/>
    <w:multiLevelType w:val="multilevel"/>
    <w:tmpl w:val="3370D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DA27F18"/>
    <w:multiLevelType w:val="multilevel"/>
    <w:tmpl w:val="3390A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E846526"/>
    <w:multiLevelType w:val="multilevel"/>
    <w:tmpl w:val="74705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AD00EC"/>
    <w:multiLevelType w:val="multilevel"/>
    <w:tmpl w:val="2A8A4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B9611A"/>
    <w:multiLevelType w:val="multilevel"/>
    <w:tmpl w:val="E2E88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FCF69A5"/>
    <w:multiLevelType w:val="multilevel"/>
    <w:tmpl w:val="5FF83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5345053">
    <w:abstractNumId w:val="20"/>
  </w:num>
  <w:num w:numId="2" w16cid:durableId="882014086">
    <w:abstractNumId w:val="35"/>
  </w:num>
  <w:num w:numId="3" w16cid:durableId="1979797400">
    <w:abstractNumId w:val="8"/>
  </w:num>
  <w:num w:numId="4" w16cid:durableId="1870530741">
    <w:abstractNumId w:val="18"/>
  </w:num>
  <w:num w:numId="5" w16cid:durableId="71977269">
    <w:abstractNumId w:val="17"/>
  </w:num>
  <w:num w:numId="6" w16cid:durableId="1990281840">
    <w:abstractNumId w:val="11"/>
  </w:num>
  <w:num w:numId="7" w16cid:durableId="1791363502">
    <w:abstractNumId w:val="27"/>
  </w:num>
  <w:num w:numId="8" w16cid:durableId="1114599280">
    <w:abstractNumId w:val="36"/>
  </w:num>
  <w:num w:numId="9" w16cid:durableId="80756683">
    <w:abstractNumId w:val="33"/>
  </w:num>
  <w:num w:numId="10" w16cid:durableId="529538701">
    <w:abstractNumId w:val="0"/>
  </w:num>
  <w:num w:numId="11" w16cid:durableId="1168793404">
    <w:abstractNumId w:val="19"/>
  </w:num>
  <w:num w:numId="12" w16cid:durableId="373120835">
    <w:abstractNumId w:val="15"/>
  </w:num>
  <w:num w:numId="13" w16cid:durableId="1464927136">
    <w:abstractNumId w:val="24"/>
  </w:num>
  <w:num w:numId="14" w16cid:durableId="1664626205">
    <w:abstractNumId w:val="21"/>
  </w:num>
  <w:num w:numId="15" w16cid:durableId="1609775101">
    <w:abstractNumId w:val="16"/>
  </w:num>
  <w:num w:numId="16" w16cid:durableId="1170633119">
    <w:abstractNumId w:val="10"/>
  </w:num>
  <w:num w:numId="17" w16cid:durableId="58722085">
    <w:abstractNumId w:val="6"/>
  </w:num>
  <w:num w:numId="18" w16cid:durableId="2124811669">
    <w:abstractNumId w:val="13"/>
  </w:num>
  <w:num w:numId="19" w16cid:durableId="1678460249">
    <w:abstractNumId w:val="22"/>
  </w:num>
  <w:num w:numId="20" w16cid:durableId="1068697499">
    <w:abstractNumId w:val="5"/>
  </w:num>
  <w:num w:numId="21" w16cid:durableId="1683628669">
    <w:abstractNumId w:val="38"/>
  </w:num>
  <w:num w:numId="22" w16cid:durableId="554505940">
    <w:abstractNumId w:val="25"/>
  </w:num>
  <w:num w:numId="23" w16cid:durableId="876968016">
    <w:abstractNumId w:val="39"/>
  </w:num>
  <w:num w:numId="24" w16cid:durableId="1936553861">
    <w:abstractNumId w:val="30"/>
  </w:num>
  <w:num w:numId="25" w16cid:durableId="379134284">
    <w:abstractNumId w:val="34"/>
  </w:num>
  <w:num w:numId="26" w16cid:durableId="1121195117">
    <w:abstractNumId w:val="1"/>
  </w:num>
  <w:num w:numId="27" w16cid:durableId="1092706919">
    <w:abstractNumId w:val="14"/>
  </w:num>
  <w:num w:numId="28" w16cid:durableId="186720201">
    <w:abstractNumId w:val="29"/>
  </w:num>
  <w:num w:numId="29" w16cid:durableId="717824258">
    <w:abstractNumId w:val="7"/>
  </w:num>
  <w:num w:numId="30" w16cid:durableId="2754444">
    <w:abstractNumId w:val="37"/>
  </w:num>
  <w:num w:numId="31" w16cid:durableId="1839537116">
    <w:abstractNumId w:val="32"/>
  </w:num>
  <w:num w:numId="32" w16cid:durableId="346911558">
    <w:abstractNumId w:val="2"/>
  </w:num>
  <w:num w:numId="33" w16cid:durableId="1475022965">
    <w:abstractNumId w:val="9"/>
  </w:num>
  <w:num w:numId="34" w16cid:durableId="1708021668">
    <w:abstractNumId w:val="3"/>
  </w:num>
  <w:num w:numId="35" w16cid:durableId="2057506820">
    <w:abstractNumId w:val="23"/>
  </w:num>
  <w:num w:numId="36" w16cid:durableId="1645427027">
    <w:abstractNumId w:val="4"/>
  </w:num>
  <w:num w:numId="37" w16cid:durableId="2131169360">
    <w:abstractNumId w:val="28"/>
  </w:num>
  <w:num w:numId="38" w16cid:durableId="130641228">
    <w:abstractNumId w:val="31"/>
  </w:num>
  <w:num w:numId="39" w16cid:durableId="2039618277">
    <w:abstractNumId w:val="12"/>
  </w:num>
  <w:num w:numId="40" w16cid:durableId="325594668">
    <w:abstractNumId w:val="40"/>
  </w:num>
  <w:num w:numId="41" w16cid:durableId="136081617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BB1"/>
    <w:rsid w:val="004A63A7"/>
    <w:rsid w:val="00550EB7"/>
    <w:rsid w:val="00645718"/>
    <w:rsid w:val="006B3297"/>
    <w:rsid w:val="007E7277"/>
    <w:rsid w:val="00C31BB1"/>
    <w:rsid w:val="00C7429E"/>
    <w:rsid w:val="00D72987"/>
    <w:rsid w:val="00F75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BF6FA"/>
  <w15:chartTrackingRefBased/>
  <w15:docId w15:val="{3E2FC038-786B-4C50-98C6-643A2BBC2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1B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31B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31B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31B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1B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1B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1B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1B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1B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1B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31B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31B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31B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1B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1B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1B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1B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1BB1"/>
    <w:rPr>
      <w:rFonts w:eastAsiaTheme="majorEastAsia" w:cstheme="majorBidi"/>
      <w:color w:val="272727" w:themeColor="text1" w:themeTint="D8"/>
    </w:rPr>
  </w:style>
  <w:style w:type="paragraph" w:styleId="Title">
    <w:name w:val="Title"/>
    <w:basedOn w:val="Normal"/>
    <w:next w:val="Normal"/>
    <w:link w:val="TitleChar"/>
    <w:uiPriority w:val="10"/>
    <w:qFormat/>
    <w:rsid w:val="00C31B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B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1B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1B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1BB1"/>
    <w:pPr>
      <w:spacing w:before="160"/>
      <w:jc w:val="center"/>
    </w:pPr>
    <w:rPr>
      <w:i/>
      <w:iCs/>
      <w:color w:val="404040" w:themeColor="text1" w:themeTint="BF"/>
    </w:rPr>
  </w:style>
  <w:style w:type="character" w:customStyle="1" w:styleId="QuoteChar">
    <w:name w:val="Quote Char"/>
    <w:basedOn w:val="DefaultParagraphFont"/>
    <w:link w:val="Quote"/>
    <w:uiPriority w:val="29"/>
    <w:rsid w:val="00C31BB1"/>
    <w:rPr>
      <w:i/>
      <w:iCs/>
      <w:color w:val="404040" w:themeColor="text1" w:themeTint="BF"/>
    </w:rPr>
  </w:style>
  <w:style w:type="paragraph" w:styleId="ListParagraph">
    <w:name w:val="List Paragraph"/>
    <w:basedOn w:val="Normal"/>
    <w:uiPriority w:val="34"/>
    <w:qFormat/>
    <w:rsid w:val="00C31BB1"/>
    <w:pPr>
      <w:ind w:left="720"/>
      <w:contextualSpacing/>
    </w:pPr>
  </w:style>
  <w:style w:type="character" w:styleId="IntenseEmphasis">
    <w:name w:val="Intense Emphasis"/>
    <w:basedOn w:val="DefaultParagraphFont"/>
    <w:uiPriority w:val="21"/>
    <w:qFormat/>
    <w:rsid w:val="00C31BB1"/>
    <w:rPr>
      <w:i/>
      <w:iCs/>
      <w:color w:val="0F4761" w:themeColor="accent1" w:themeShade="BF"/>
    </w:rPr>
  </w:style>
  <w:style w:type="paragraph" w:styleId="IntenseQuote">
    <w:name w:val="Intense Quote"/>
    <w:basedOn w:val="Normal"/>
    <w:next w:val="Normal"/>
    <w:link w:val="IntenseQuoteChar"/>
    <w:uiPriority w:val="30"/>
    <w:qFormat/>
    <w:rsid w:val="00C31B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1BB1"/>
    <w:rPr>
      <w:i/>
      <w:iCs/>
      <w:color w:val="0F4761" w:themeColor="accent1" w:themeShade="BF"/>
    </w:rPr>
  </w:style>
  <w:style w:type="character" w:styleId="IntenseReference">
    <w:name w:val="Intense Reference"/>
    <w:basedOn w:val="DefaultParagraphFont"/>
    <w:uiPriority w:val="32"/>
    <w:qFormat/>
    <w:rsid w:val="00C31BB1"/>
    <w:rPr>
      <w:b/>
      <w:bCs/>
      <w:smallCaps/>
      <w:color w:val="0F4761" w:themeColor="accent1" w:themeShade="BF"/>
      <w:spacing w:val="5"/>
    </w:rPr>
  </w:style>
  <w:style w:type="character" w:styleId="Hyperlink">
    <w:name w:val="Hyperlink"/>
    <w:basedOn w:val="DefaultParagraphFont"/>
    <w:uiPriority w:val="99"/>
    <w:unhideWhenUsed/>
    <w:rsid w:val="00C31BB1"/>
    <w:rPr>
      <w:color w:val="467886" w:themeColor="hyperlink"/>
      <w:u w:val="single"/>
    </w:rPr>
  </w:style>
  <w:style w:type="character" w:styleId="UnresolvedMention">
    <w:name w:val="Unresolved Mention"/>
    <w:basedOn w:val="DefaultParagraphFont"/>
    <w:uiPriority w:val="99"/>
    <w:semiHidden/>
    <w:unhideWhenUsed/>
    <w:rsid w:val="00C31BB1"/>
    <w:rPr>
      <w:color w:val="605E5C"/>
      <w:shd w:val="clear" w:color="auto" w:fill="E1DFDD"/>
    </w:rPr>
  </w:style>
  <w:style w:type="table" w:styleId="TableGrid">
    <w:name w:val="Table Grid"/>
    <w:basedOn w:val="TableNormal"/>
    <w:uiPriority w:val="39"/>
    <w:rsid w:val="00550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5</Pages>
  <Words>1181</Words>
  <Characters>6737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Marcia M. Ditmyer</dc:creator>
  <cp:keywords/>
  <dc:description/>
  <cp:lastModifiedBy>Marcia M. Ditmyer</cp:lastModifiedBy>
  <cp:revision>2</cp:revision>
  <dcterms:created xsi:type="dcterms:W3CDTF">2026-06-29T14:25:00Z</dcterms:created>
  <dcterms:modified xsi:type="dcterms:W3CDTF">2026-10-21T13:34:00Z</dcterms:modified>
</cp:coreProperties>
</file>